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75" w:rsidRPr="001D05A4" w:rsidRDefault="004D7175" w:rsidP="004D7175">
      <w:pPr>
        <w:rPr>
          <w:b/>
        </w:rPr>
      </w:pPr>
      <w:r w:rsidRPr="001D05A4">
        <w:rPr>
          <w:b/>
        </w:rPr>
        <w:t xml:space="preserve">Bi </w:t>
      </w:r>
      <w:r w:rsidR="000F3C1A">
        <w:rPr>
          <w:b/>
        </w:rPr>
        <w:t>1x, Spring 2010</w:t>
      </w:r>
    </w:p>
    <w:p w:rsidR="00D804C8" w:rsidRDefault="004D7175" w:rsidP="004D7175">
      <w:pPr>
        <w:rPr>
          <w:b/>
        </w:rPr>
      </w:pPr>
      <w:r w:rsidRPr="001D05A4">
        <w:rPr>
          <w:b/>
        </w:rPr>
        <w:t>Week</w:t>
      </w:r>
      <w:r w:rsidR="000F3C1A">
        <w:rPr>
          <w:b/>
        </w:rPr>
        <w:t xml:space="preserve"> 4</w:t>
      </w:r>
    </w:p>
    <w:p w:rsidR="00D804C8" w:rsidRDefault="00D804C8" w:rsidP="004D7175">
      <w:pPr>
        <w:pStyle w:val="ListParagraph"/>
        <w:numPr>
          <w:ilvl w:val="0"/>
          <w:numId w:val="1"/>
        </w:numPr>
        <w:spacing w:after="0"/>
        <w:rPr>
          <w:b/>
        </w:rPr>
      </w:pPr>
      <w:r w:rsidRPr="00D804C8">
        <w:rPr>
          <w:b/>
        </w:rPr>
        <w:t>Session 2</w:t>
      </w:r>
    </w:p>
    <w:p w:rsidR="004D7175" w:rsidRPr="00D804C8" w:rsidRDefault="000F3C1A" w:rsidP="00D804C8">
      <w:pPr>
        <w:pStyle w:val="ListParagraph"/>
        <w:numPr>
          <w:ilvl w:val="1"/>
          <w:numId w:val="1"/>
        </w:numPr>
        <w:spacing w:after="0"/>
        <w:rPr>
          <w:b/>
        </w:rPr>
      </w:pPr>
      <w:r>
        <w:t>Restriction enzyme digestion</w:t>
      </w:r>
    </w:p>
    <w:p w:rsidR="004D7175" w:rsidRPr="001D05A4" w:rsidRDefault="004D7175" w:rsidP="004D7175">
      <w:pPr>
        <w:pBdr>
          <w:bottom w:val="single" w:sz="6" w:space="1" w:color="auto"/>
        </w:pBdr>
      </w:pPr>
    </w:p>
    <w:p w:rsidR="004D7175" w:rsidRDefault="004D7175" w:rsidP="004D7175">
      <w:pPr>
        <w:rPr>
          <w:b/>
        </w:rPr>
      </w:pPr>
      <w:r>
        <w:rPr>
          <w:b/>
        </w:rPr>
        <w:t>Restriction enzyme digestion</w:t>
      </w:r>
    </w:p>
    <w:p w:rsidR="00D804C8" w:rsidRDefault="004D7175" w:rsidP="004D7175">
      <w:r>
        <w:t>Restriction en</w:t>
      </w:r>
      <w:r w:rsidR="00623A46">
        <w:t>zymes are enzymes that bind to</w:t>
      </w:r>
      <w:r>
        <w:t xml:space="preserve"> specific DNA sequence</w:t>
      </w:r>
      <w:r w:rsidR="00623A46">
        <w:t>s</w:t>
      </w:r>
      <w:r>
        <w:t xml:space="preserve"> and cleave (“digest”) the DNA </w:t>
      </w:r>
      <w:r w:rsidR="00623A46">
        <w:t>at or next</w:t>
      </w:r>
      <w:r>
        <w:t xml:space="preserve"> to the binding site.  You will become familiar with restriction enzymes during this week’s lab sessions</w:t>
      </w:r>
      <w:r w:rsidR="00D804C8">
        <w:t xml:space="preserve"> on both bulk and single molecule scales.</w:t>
      </w:r>
    </w:p>
    <w:p w:rsidR="00D804C8" w:rsidRDefault="00D804C8" w:rsidP="004D7175">
      <w:r>
        <w:rPr>
          <w:i/>
        </w:rPr>
        <w:t>Note:</w:t>
      </w:r>
      <w:r>
        <w:t xml:space="preserve"> </w:t>
      </w:r>
      <w:r>
        <w:rPr>
          <w:i/>
        </w:rPr>
        <w:t>This document describes bulk restriction digests only.</w:t>
      </w:r>
    </w:p>
    <w:p w:rsidR="00D804C8" w:rsidRDefault="00D804C8" w:rsidP="004D7175">
      <w:pPr>
        <w:rPr>
          <w:b/>
        </w:rPr>
      </w:pPr>
      <w:r>
        <w:rPr>
          <w:b/>
        </w:rPr>
        <w:t>Materials:</w:t>
      </w:r>
    </w:p>
    <w:p w:rsidR="00D804C8" w:rsidRDefault="00D804C8" w:rsidP="00D804C8">
      <w:pPr>
        <w:pStyle w:val="ListParagraph"/>
        <w:numPr>
          <w:ilvl w:val="0"/>
          <w:numId w:val="1"/>
        </w:numPr>
      </w:pPr>
      <w:r>
        <w:t>Sterile, ultrapure water</w:t>
      </w:r>
    </w:p>
    <w:p w:rsidR="00D804C8" w:rsidRDefault="00D804C8" w:rsidP="00D804C8">
      <w:pPr>
        <w:pStyle w:val="ListParagraph"/>
        <w:numPr>
          <w:ilvl w:val="0"/>
          <w:numId w:val="1"/>
        </w:numPr>
      </w:pPr>
      <w:proofErr w:type="gramStart"/>
      <w:r>
        <w:t>pZE21</w:t>
      </w:r>
      <w:proofErr w:type="gramEnd"/>
      <w:r>
        <w:t>-lacZ plasmid DNA</w:t>
      </w:r>
    </w:p>
    <w:p w:rsidR="00623A46" w:rsidRDefault="00623A46" w:rsidP="00D804C8">
      <w:pPr>
        <w:pStyle w:val="ListParagraph"/>
        <w:numPr>
          <w:ilvl w:val="0"/>
          <w:numId w:val="1"/>
        </w:numPr>
      </w:pPr>
      <w:r>
        <w:t>10X NEB2 Buffer</w:t>
      </w:r>
    </w:p>
    <w:p w:rsidR="00623A46" w:rsidRDefault="00623A46" w:rsidP="00D804C8">
      <w:pPr>
        <w:pStyle w:val="ListParagraph"/>
        <w:numPr>
          <w:ilvl w:val="0"/>
          <w:numId w:val="1"/>
        </w:numPr>
      </w:pPr>
      <w:r>
        <w:t xml:space="preserve">10X </w:t>
      </w:r>
      <w:proofErr w:type="spellStart"/>
      <w:r>
        <w:t>EcoRI</w:t>
      </w:r>
      <w:proofErr w:type="spellEnd"/>
      <w:r>
        <w:t xml:space="preserve"> Buffer</w:t>
      </w:r>
    </w:p>
    <w:p w:rsidR="00623A46" w:rsidRDefault="00623A46" w:rsidP="00D804C8">
      <w:pPr>
        <w:pStyle w:val="ListParagraph"/>
        <w:numPr>
          <w:ilvl w:val="0"/>
          <w:numId w:val="1"/>
        </w:numPr>
      </w:pPr>
      <w:r>
        <w:t>10X BSA Solution</w:t>
      </w:r>
    </w:p>
    <w:p w:rsidR="00623A46" w:rsidRDefault="00623A46" w:rsidP="00D804C8">
      <w:pPr>
        <w:pStyle w:val="ListParagraph"/>
        <w:numPr>
          <w:ilvl w:val="0"/>
          <w:numId w:val="1"/>
        </w:numPr>
      </w:pPr>
      <w:proofErr w:type="spellStart"/>
      <w:r>
        <w:t>HindIII</w:t>
      </w:r>
      <w:proofErr w:type="spellEnd"/>
      <w:r>
        <w:t xml:space="preserve"> digested lambda phage DNA</w:t>
      </w:r>
    </w:p>
    <w:p w:rsidR="00623A46" w:rsidRDefault="00623A46" w:rsidP="00623A46">
      <w:pPr>
        <w:pStyle w:val="ListParagraph"/>
      </w:pPr>
    </w:p>
    <w:p w:rsidR="00D804C8" w:rsidRPr="00623A46" w:rsidRDefault="00623A46" w:rsidP="00623A46">
      <w:pPr>
        <w:pStyle w:val="ListParagraph"/>
        <w:numPr>
          <w:ilvl w:val="0"/>
          <w:numId w:val="1"/>
        </w:numPr>
        <w:rPr>
          <w:i/>
        </w:rPr>
      </w:pPr>
      <w:proofErr w:type="spellStart"/>
      <w:proofErr w:type="gramStart"/>
      <w:r w:rsidRPr="00623A46">
        <w:rPr>
          <w:i/>
        </w:rPr>
        <w:t>EcoRI</w:t>
      </w:r>
      <w:proofErr w:type="spellEnd"/>
      <w:r w:rsidRPr="00623A46">
        <w:rPr>
          <w:i/>
        </w:rPr>
        <w:t xml:space="preserve">, </w:t>
      </w:r>
      <w:proofErr w:type="spellStart"/>
      <w:r w:rsidRPr="00623A46">
        <w:rPr>
          <w:i/>
        </w:rPr>
        <w:t>HindIII</w:t>
      </w:r>
      <w:proofErr w:type="spellEnd"/>
      <w:r w:rsidRPr="00623A46">
        <w:rPr>
          <w:i/>
        </w:rPr>
        <w:t xml:space="preserve">, and </w:t>
      </w:r>
      <w:proofErr w:type="spellStart"/>
      <w:r w:rsidRPr="00623A46">
        <w:rPr>
          <w:i/>
        </w:rPr>
        <w:t>KpnI</w:t>
      </w:r>
      <w:proofErr w:type="spellEnd"/>
      <w:r w:rsidRPr="00623A46">
        <w:rPr>
          <w:i/>
        </w:rPr>
        <w:t xml:space="preserve"> restriction enzymes will be supplied by your TAs</w:t>
      </w:r>
      <w:proofErr w:type="gramEnd"/>
      <w:r w:rsidRPr="00623A46">
        <w:rPr>
          <w:i/>
        </w:rPr>
        <w:t xml:space="preserve"> when you are ready to use them.</w:t>
      </w:r>
    </w:p>
    <w:p w:rsidR="008B61A6" w:rsidRDefault="008B61A6" w:rsidP="004D7175">
      <w:r>
        <w:rPr>
          <w:b/>
        </w:rPr>
        <w:t>Background:</w:t>
      </w:r>
    </w:p>
    <w:p w:rsidR="006505B4" w:rsidRDefault="006505B4" w:rsidP="006505B4">
      <w:r>
        <w:t xml:space="preserve">Most useful restriction enzymes recognize 4-8 base pair restriction sites.  These sites are symmetric, inverted repeats called palindromes. Shown below are the restriction sites of the three enzymes you will be using today: </w:t>
      </w:r>
      <w:proofErr w:type="spellStart"/>
      <w:r>
        <w:t>EcoRI</w:t>
      </w:r>
      <w:proofErr w:type="spellEnd"/>
      <w:r>
        <w:t xml:space="preserve">, </w:t>
      </w:r>
      <w:proofErr w:type="spellStart"/>
      <w:r>
        <w:t>HindIII</w:t>
      </w:r>
      <w:proofErr w:type="spellEnd"/>
      <w:r>
        <w:t xml:space="preserve">, and </w:t>
      </w:r>
      <w:proofErr w:type="spellStart"/>
      <w:r>
        <w:t>KpnI</w:t>
      </w:r>
      <w:proofErr w:type="spellEnd"/>
      <w:r>
        <w:t>.  Notice how the 5’ to 3’ sequence is identical on the top and bottom strands.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952"/>
        <w:gridCol w:w="2952"/>
        <w:gridCol w:w="2952"/>
      </w:tblGrid>
      <w:tr w:rsidR="006505B4" w:rsidRPr="006505B4">
        <w:tc>
          <w:tcPr>
            <w:tcW w:w="2952" w:type="dxa"/>
          </w:tcPr>
          <w:p w:rsidR="006505B4" w:rsidRPr="006505B4" w:rsidRDefault="006505B4" w:rsidP="006505B4">
            <w:pPr>
              <w:widowControl w:val="0"/>
              <w:autoSpaceDE w:val="0"/>
              <w:autoSpaceDN w:val="0"/>
              <w:adjustRightInd w:val="0"/>
              <w:spacing w:line="280" w:lineRule="atLeast"/>
              <w:rPr>
                <w:rFonts w:ascii="Helvetica Neue" w:hAnsi="Helvetica Neue" w:cs="Verdana"/>
                <w:sz w:val="20"/>
                <w:szCs w:val="20"/>
              </w:rPr>
            </w:pPr>
            <w:proofErr w:type="spellStart"/>
            <w:r w:rsidRPr="006505B4">
              <w:rPr>
                <w:rFonts w:ascii="Helvetica Neue" w:hAnsi="Helvetica Neue" w:cs="Verdana"/>
                <w:b/>
                <w:bCs/>
                <w:sz w:val="20"/>
                <w:szCs w:val="20"/>
              </w:rPr>
              <w:t>EcoRI</w:t>
            </w:r>
            <w:proofErr w:type="spellEnd"/>
            <w:r w:rsidRPr="006505B4">
              <w:rPr>
                <w:rFonts w:ascii="Helvetica Neue" w:hAnsi="Helvetica Neue" w:cs="Verdana"/>
                <w:b/>
                <w:bCs/>
                <w:sz w:val="20"/>
                <w:szCs w:val="20"/>
              </w:rPr>
              <w:t>:</w:t>
            </w:r>
          </w:p>
          <w:p w:rsidR="006505B4" w:rsidRPr="006505B4" w:rsidRDefault="006505B4" w:rsidP="006505B4">
            <w:pPr>
              <w:widowControl w:val="0"/>
              <w:autoSpaceDE w:val="0"/>
              <w:autoSpaceDN w:val="0"/>
              <w:adjustRightInd w:val="0"/>
              <w:spacing w:line="280" w:lineRule="atLeast"/>
              <w:rPr>
                <w:rFonts w:ascii="Helvetica Neue" w:hAnsi="Helvetica Neue" w:cs="Verdana"/>
                <w:sz w:val="20"/>
                <w:szCs w:val="20"/>
              </w:rPr>
            </w:pPr>
            <w:r w:rsidRPr="006505B4">
              <w:rPr>
                <w:rFonts w:ascii="Helvetica Neue" w:hAnsi="Helvetica Neue" w:cs="Verdana"/>
                <w:noProof/>
                <w:sz w:val="20"/>
                <w:szCs w:val="20"/>
              </w:rPr>
              <w:drawing>
                <wp:inline distT="0" distB="0" distL="0" distR="0">
                  <wp:extent cx="1625600" cy="406400"/>
                  <wp:effectExtent l="25400" t="0" r="0" b="0"/>
                  <wp:docPr id="1" name="Picture 1" descr=":::Downloads:EcoR-I-cutsite_1_v1_000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EcoR-I-cutsite_1_v1_000025.gif"/>
                          <pic:cNvPicPr>
                            <a:picLocks noChangeAspect="1" noChangeArrowheads="1"/>
                          </pic:cNvPicPr>
                        </pic:nvPicPr>
                        <pic:blipFill>
                          <a:blip r:embed="rId5"/>
                          <a:srcRect/>
                          <a:stretch>
                            <a:fillRect/>
                          </a:stretch>
                        </pic:blipFill>
                        <pic:spPr bwMode="auto">
                          <a:xfrm>
                            <a:off x="0" y="0"/>
                            <a:ext cx="1625600" cy="406400"/>
                          </a:xfrm>
                          <a:prstGeom prst="rect">
                            <a:avLst/>
                          </a:prstGeom>
                          <a:noFill/>
                          <a:ln w="9525">
                            <a:noFill/>
                            <a:miter lim="800000"/>
                            <a:headEnd/>
                            <a:tailEnd/>
                          </a:ln>
                        </pic:spPr>
                      </pic:pic>
                    </a:graphicData>
                  </a:graphic>
                </wp:inline>
              </w:drawing>
            </w:r>
          </w:p>
        </w:tc>
        <w:tc>
          <w:tcPr>
            <w:tcW w:w="2952" w:type="dxa"/>
          </w:tcPr>
          <w:p w:rsidR="006505B4" w:rsidRPr="006505B4" w:rsidRDefault="006505B4" w:rsidP="004D7175">
            <w:pPr>
              <w:rPr>
                <w:rFonts w:ascii="Helvetica Neue" w:hAnsi="Helvetica Neue"/>
                <w:b/>
                <w:sz w:val="20"/>
              </w:rPr>
            </w:pPr>
            <w:proofErr w:type="spellStart"/>
            <w:r w:rsidRPr="006505B4">
              <w:rPr>
                <w:rFonts w:ascii="Helvetica Neue" w:hAnsi="Helvetica Neue"/>
                <w:b/>
                <w:sz w:val="20"/>
              </w:rPr>
              <w:t>HindIII</w:t>
            </w:r>
            <w:proofErr w:type="spellEnd"/>
            <w:r w:rsidRPr="006505B4">
              <w:rPr>
                <w:rFonts w:ascii="Helvetica Neue" w:hAnsi="Helvetica Neue"/>
                <w:b/>
                <w:sz w:val="20"/>
              </w:rPr>
              <w:t>:</w:t>
            </w:r>
            <w:r w:rsidRPr="006505B4">
              <w:rPr>
                <w:rFonts w:ascii="Helvetica Neue" w:hAnsi="Helvetica Neue"/>
                <w:b/>
                <w:noProof/>
                <w:sz w:val="20"/>
              </w:rPr>
              <w:drawing>
                <wp:inline distT="0" distB="0" distL="0" distR="0">
                  <wp:extent cx="1663700" cy="406400"/>
                  <wp:effectExtent l="25400" t="0" r="0" b="0"/>
                  <wp:docPr id="3" name="Picture 3" descr=":::Downloads:Hind-III-cutsite_1_v1_000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Hind-III-cutsite_1_v1_000019.gif"/>
                          <pic:cNvPicPr>
                            <a:picLocks noChangeAspect="1" noChangeArrowheads="1"/>
                          </pic:cNvPicPr>
                        </pic:nvPicPr>
                        <pic:blipFill>
                          <a:blip r:embed="rId6"/>
                          <a:srcRect/>
                          <a:stretch>
                            <a:fillRect/>
                          </a:stretch>
                        </pic:blipFill>
                        <pic:spPr bwMode="auto">
                          <a:xfrm>
                            <a:off x="0" y="0"/>
                            <a:ext cx="1663700" cy="406400"/>
                          </a:xfrm>
                          <a:prstGeom prst="rect">
                            <a:avLst/>
                          </a:prstGeom>
                          <a:noFill/>
                          <a:ln w="9525">
                            <a:noFill/>
                            <a:miter lim="800000"/>
                            <a:headEnd/>
                            <a:tailEnd/>
                          </a:ln>
                        </pic:spPr>
                      </pic:pic>
                    </a:graphicData>
                  </a:graphic>
                </wp:inline>
              </w:drawing>
            </w:r>
          </w:p>
        </w:tc>
        <w:tc>
          <w:tcPr>
            <w:tcW w:w="2952" w:type="dxa"/>
          </w:tcPr>
          <w:p w:rsidR="006505B4" w:rsidRPr="006505B4" w:rsidRDefault="006505B4" w:rsidP="004D7175">
            <w:pPr>
              <w:rPr>
                <w:rFonts w:ascii="Helvetica Neue" w:hAnsi="Helvetica Neue"/>
                <w:b/>
                <w:sz w:val="20"/>
              </w:rPr>
            </w:pPr>
            <w:proofErr w:type="spellStart"/>
            <w:r w:rsidRPr="006505B4">
              <w:rPr>
                <w:rFonts w:ascii="Helvetica Neue" w:hAnsi="Helvetica Neue"/>
                <w:b/>
                <w:sz w:val="20"/>
              </w:rPr>
              <w:t>KpnI</w:t>
            </w:r>
            <w:proofErr w:type="spellEnd"/>
            <w:r w:rsidRPr="006505B4">
              <w:rPr>
                <w:rFonts w:ascii="Helvetica Neue" w:hAnsi="Helvetica Neue"/>
                <w:b/>
                <w:sz w:val="20"/>
              </w:rPr>
              <w:t>:</w:t>
            </w:r>
            <w:r w:rsidRPr="006505B4">
              <w:rPr>
                <w:rFonts w:ascii="Helvetica Neue" w:hAnsi="Helvetica Neue"/>
                <w:b/>
                <w:noProof/>
                <w:sz w:val="20"/>
              </w:rPr>
              <w:drawing>
                <wp:inline distT="0" distB="0" distL="0" distR="0">
                  <wp:extent cx="1663700" cy="406400"/>
                  <wp:effectExtent l="25400" t="0" r="0" b="0"/>
                  <wp:docPr id="2" name="Picture 2" descr=":::Downloads:Kpn-I-cutsite_1_v1_000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Kpn-I-cutsite_1_v1_000021.gif"/>
                          <pic:cNvPicPr>
                            <a:picLocks noChangeAspect="1" noChangeArrowheads="1"/>
                          </pic:cNvPicPr>
                        </pic:nvPicPr>
                        <pic:blipFill>
                          <a:blip r:embed="rId7"/>
                          <a:srcRect/>
                          <a:stretch>
                            <a:fillRect/>
                          </a:stretch>
                        </pic:blipFill>
                        <pic:spPr bwMode="auto">
                          <a:xfrm>
                            <a:off x="0" y="0"/>
                            <a:ext cx="1663700" cy="406400"/>
                          </a:xfrm>
                          <a:prstGeom prst="rect">
                            <a:avLst/>
                          </a:prstGeom>
                          <a:noFill/>
                          <a:ln w="9525">
                            <a:noFill/>
                            <a:miter lim="800000"/>
                            <a:headEnd/>
                            <a:tailEnd/>
                          </a:ln>
                        </pic:spPr>
                      </pic:pic>
                    </a:graphicData>
                  </a:graphic>
                </wp:inline>
              </w:drawing>
            </w:r>
          </w:p>
        </w:tc>
      </w:tr>
    </w:tbl>
    <w:p w:rsidR="008427DA" w:rsidRDefault="008427DA" w:rsidP="008427DA">
      <w:pPr>
        <w:spacing w:after="0"/>
      </w:pPr>
    </w:p>
    <w:p w:rsidR="008F4511" w:rsidRDefault="008427DA" w:rsidP="004D7175">
      <w:r>
        <w:t xml:space="preserve">Some enzymes, like </w:t>
      </w:r>
      <w:proofErr w:type="spellStart"/>
      <w:r>
        <w:t>KpnI</w:t>
      </w:r>
      <w:proofErr w:type="spellEnd"/>
      <w:r>
        <w:t xml:space="preserve">, produce sequences with 3’ overhangs upon cleavage.  Others, like </w:t>
      </w:r>
      <w:proofErr w:type="spellStart"/>
      <w:r>
        <w:t>EcoRI</w:t>
      </w:r>
      <w:proofErr w:type="spellEnd"/>
      <w:r>
        <w:t xml:space="preserve"> and </w:t>
      </w:r>
      <w:proofErr w:type="spellStart"/>
      <w:r>
        <w:t>HindIII</w:t>
      </w:r>
      <w:proofErr w:type="spellEnd"/>
      <w:r>
        <w:t xml:space="preserve">, produce 5’ overhanging ends.  Additional enzymes can produce blunt sequences.  </w:t>
      </w:r>
      <w:r w:rsidR="008F4511">
        <w:t xml:space="preserve">It is also important to remember that restriction sequences are not necessarily unique to an enzyme—multiple enzymes often have the same recognition sequence.  To look up the recognition sequences of different enzymes, you can consult the New England </w:t>
      </w:r>
      <w:proofErr w:type="spellStart"/>
      <w:r w:rsidR="008F4511">
        <w:t>Biolabs</w:t>
      </w:r>
      <w:proofErr w:type="spellEnd"/>
      <w:r w:rsidR="008F4511">
        <w:t xml:space="preserve"> (NEB) REBASE database (</w:t>
      </w:r>
      <w:hyperlink r:id="rId8" w:history="1">
        <w:r w:rsidR="008F4511" w:rsidRPr="007A1575">
          <w:rPr>
            <w:rStyle w:val="Hyperlink"/>
          </w:rPr>
          <w:t>http://rebase.neb.com/rebase/rebase.html</w:t>
        </w:r>
      </w:hyperlink>
      <w:r w:rsidR="008F4511">
        <w:t>).</w:t>
      </w:r>
    </w:p>
    <w:p w:rsidR="008F4511" w:rsidRDefault="008F4511" w:rsidP="008F4511">
      <w:r>
        <w:t>Restriction enzymes are generally supplied as a given number of units.  These units correspond to a metric of enzymatic activity, as specified by the manufacturer.  Today, you will be using enzymes from NEB, which uses the following definition for a “unit”:</w:t>
      </w:r>
    </w:p>
    <w:p w:rsidR="008F4511" w:rsidRDefault="008F4511" w:rsidP="008F4511">
      <w:pPr>
        <w:ind w:left="720" w:right="720"/>
      </w:pPr>
      <w:r>
        <w:rPr>
          <w:rFonts w:ascii="Verdana" w:hAnsi="Verdana" w:cs="Verdana"/>
          <w:sz w:val="20"/>
          <w:szCs w:val="20"/>
        </w:rPr>
        <w:t>One unit is defined as the amount of enzyme required to digest 1 µg of λ DNA in 1 hour at 37°C in a total reaction volume of 50 µl.</w:t>
      </w:r>
    </w:p>
    <w:p w:rsidR="008F4511" w:rsidRDefault="008F4511" w:rsidP="008F4511">
      <w:r>
        <w:t xml:space="preserve">Lastly, restriction enzymes, like all enzymes, have certain optimal conditions for that must be met for full activity.  Different restriction enzymes have different condition requirements—salt, metal, detergent, and additive concentrations can all have drastic effects on activity (though many enzymes are perfectly happy in generic buffers). </w:t>
      </w:r>
      <w:r w:rsidR="00BF2787">
        <w:t xml:space="preserve"> One common additive (which you will be using today) is acetylated bovine serum albumin (BSA). </w:t>
      </w:r>
      <w:r>
        <w:t xml:space="preserve"> </w:t>
      </w:r>
      <w:proofErr w:type="gramStart"/>
      <w:r w:rsidR="00BF2787">
        <w:t>BSA levels and other reaction c</w:t>
      </w:r>
      <w:r>
        <w:t>onditions are usually optimized by the manufacturers, who supply specific buffers with each enzyme</w:t>
      </w:r>
      <w:proofErr w:type="gramEnd"/>
      <w:r>
        <w:t>.</w:t>
      </w:r>
    </w:p>
    <w:p w:rsidR="004D7175" w:rsidRPr="008B61A6" w:rsidRDefault="008F4511" w:rsidP="004D7175">
      <w:r>
        <w:t xml:space="preserve">Today, you will familiarize yourself with restriction enzymes by digesting genomic DNA from the </w:t>
      </w:r>
      <w:proofErr w:type="spellStart"/>
      <w:r>
        <w:t>bacteriophage</w:t>
      </w:r>
      <w:proofErr w:type="spellEnd"/>
      <w:r>
        <w:t xml:space="preserve"> lambda (discussed in your </w:t>
      </w:r>
      <w:proofErr w:type="spellStart"/>
      <w:r>
        <w:t>prelab</w:t>
      </w:r>
      <w:proofErr w:type="spellEnd"/>
      <w:r>
        <w:t xml:space="preserve">) as well as plasmid DNA.  A restriction map of this plasmid has been supplied at the end of this document.  You will run your samples on an </w:t>
      </w:r>
      <w:proofErr w:type="spellStart"/>
      <w:r>
        <w:t>agarose</w:t>
      </w:r>
      <w:proofErr w:type="spellEnd"/>
      <w:r>
        <w:t xml:space="preserve"> gel tomorrow to analyze the results of your digestions.</w:t>
      </w:r>
    </w:p>
    <w:p w:rsidR="008B61A6" w:rsidRDefault="008B61A6">
      <w:r>
        <w:rPr>
          <w:b/>
        </w:rPr>
        <w:t>Protocol:</w:t>
      </w:r>
    </w:p>
    <w:p w:rsidR="00661FF4" w:rsidRDefault="008B61A6" w:rsidP="008B61A6">
      <w:pPr>
        <w:autoSpaceDE w:val="0"/>
        <w:autoSpaceDN w:val="0"/>
        <w:adjustRightInd w:val="0"/>
        <w:spacing w:after="0"/>
        <w:rPr>
          <w:rFonts w:cs="Times New Roman"/>
          <w:u w:val="single"/>
        </w:rPr>
      </w:pPr>
      <w:r w:rsidRPr="000718D1">
        <w:rPr>
          <w:rFonts w:cs="Times New Roman"/>
          <w:u w:val="single"/>
        </w:rPr>
        <w:t xml:space="preserve">Today you will perform the following </w:t>
      </w:r>
      <w:r w:rsidR="00661FF4">
        <w:rPr>
          <w:rFonts w:cs="Times New Roman"/>
          <w:u w:val="single"/>
        </w:rPr>
        <w:t xml:space="preserve">three </w:t>
      </w:r>
      <w:r w:rsidRPr="000718D1">
        <w:rPr>
          <w:rFonts w:cs="Times New Roman"/>
          <w:u w:val="single"/>
        </w:rPr>
        <w:t>restriction digests</w:t>
      </w:r>
      <w:r w:rsidR="00A44A51">
        <w:rPr>
          <w:rFonts w:cs="Times New Roman"/>
          <w:u w:val="single"/>
        </w:rPr>
        <w:t xml:space="preserve"> (per pair)</w:t>
      </w:r>
      <w:r w:rsidRPr="000718D1">
        <w:rPr>
          <w:rFonts w:cs="Times New Roman"/>
          <w:u w:val="single"/>
        </w:rPr>
        <w:t>:</w:t>
      </w:r>
    </w:p>
    <w:p w:rsidR="008B61A6" w:rsidRPr="00661FF4" w:rsidRDefault="008B61A6" w:rsidP="00661FF4">
      <w:pPr>
        <w:autoSpaceDE w:val="0"/>
        <w:autoSpaceDN w:val="0"/>
        <w:adjustRightInd w:val="0"/>
        <w:spacing w:after="0"/>
        <w:rPr>
          <w:rFonts w:cs="Times New Roman"/>
        </w:rPr>
      </w:pPr>
    </w:p>
    <w:p w:rsidR="008B61A6" w:rsidRDefault="008B61A6" w:rsidP="008B61A6">
      <w:pPr>
        <w:pStyle w:val="ListParagraph"/>
        <w:numPr>
          <w:ilvl w:val="0"/>
          <w:numId w:val="2"/>
        </w:numPr>
        <w:autoSpaceDE w:val="0"/>
        <w:autoSpaceDN w:val="0"/>
        <w:adjustRightInd w:val="0"/>
        <w:spacing w:after="0"/>
        <w:rPr>
          <w:rFonts w:cs="Times New Roman"/>
        </w:rPr>
      </w:pPr>
      <w:proofErr w:type="spellStart"/>
      <w:r>
        <w:rPr>
          <w:rFonts w:cs="Times New Roman"/>
        </w:rPr>
        <w:t>HindIII</w:t>
      </w:r>
      <w:proofErr w:type="spellEnd"/>
      <w:r>
        <w:rPr>
          <w:rFonts w:cs="Times New Roman"/>
        </w:rPr>
        <w:t xml:space="preserve"> single digest of </w:t>
      </w:r>
      <w:r w:rsidR="00661FF4">
        <w:rPr>
          <w:rFonts w:cs="Times New Roman"/>
        </w:rPr>
        <w:t xml:space="preserve">the </w:t>
      </w:r>
      <w:r w:rsidR="006F5B2F">
        <w:rPr>
          <w:rFonts w:cs="Times New Roman"/>
        </w:rPr>
        <w:t>plasmid</w:t>
      </w:r>
      <w:r>
        <w:rPr>
          <w:rFonts w:cs="Times New Roman"/>
        </w:rPr>
        <w:t xml:space="preserve"> pZE21-LacZ</w:t>
      </w:r>
    </w:p>
    <w:p w:rsidR="008B61A6" w:rsidRDefault="008B61A6" w:rsidP="008B61A6">
      <w:pPr>
        <w:pStyle w:val="ListParagraph"/>
        <w:numPr>
          <w:ilvl w:val="0"/>
          <w:numId w:val="2"/>
        </w:numPr>
        <w:autoSpaceDE w:val="0"/>
        <w:autoSpaceDN w:val="0"/>
        <w:adjustRightInd w:val="0"/>
        <w:spacing w:after="0"/>
        <w:rPr>
          <w:rFonts w:cs="Times New Roman"/>
        </w:rPr>
      </w:pPr>
      <w:proofErr w:type="spellStart"/>
      <w:r>
        <w:rPr>
          <w:rFonts w:cs="Times New Roman"/>
        </w:rPr>
        <w:t>KpnI/HindIII</w:t>
      </w:r>
      <w:proofErr w:type="spellEnd"/>
      <w:r>
        <w:rPr>
          <w:rFonts w:cs="Times New Roman"/>
        </w:rPr>
        <w:t xml:space="preserve"> double digest of </w:t>
      </w:r>
      <w:r w:rsidR="00661FF4">
        <w:rPr>
          <w:rFonts w:cs="Times New Roman"/>
        </w:rPr>
        <w:t xml:space="preserve">the </w:t>
      </w:r>
      <w:r w:rsidR="006F5B2F">
        <w:rPr>
          <w:rFonts w:cs="Times New Roman"/>
        </w:rPr>
        <w:t>plasmid</w:t>
      </w:r>
      <w:r>
        <w:rPr>
          <w:rFonts w:cs="Times New Roman"/>
        </w:rPr>
        <w:t xml:space="preserve"> pZE21-lacZ</w:t>
      </w:r>
    </w:p>
    <w:p w:rsidR="00D80F21" w:rsidRDefault="008B61A6" w:rsidP="00D80F21">
      <w:pPr>
        <w:pStyle w:val="ListParagraph"/>
        <w:numPr>
          <w:ilvl w:val="0"/>
          <w:numId w:val="2"/>
        </w:numPr>
        <w:autoSpaceDE w:val="0"/>
        <w:autoSpaceDN w:val="0"/>
        <w:adjustRightInd w:val="0"/>
        <w:spacing w:after="0"/>
        <w:rPr>
          <w:rFonts w:cs="Times New Roman"/>
        </w:rPr>
      </w:pPr>
      <w:proofErr w:type="spellStart"/>
      <w:r>
        <w:rPr>
          <w:rFonts w:cs="Times New Roman"/>
        </w:rPr>
        <w:t>EcoRI</w:t>
      </w:r>
      <w:proofErr w:type="spellEnd"/>
      <w:r>
        <w:rPr>
          <w:rFonts w:cs="Times New Roman"/>
        </w:rPr>
        <w:t xml:space="preserve"> digest of </w:t>
      </w:r>
      <w:proofErr w:type="spellStart"/>
      <w:r>
        <w:rPr>
          <w:rFonts w:cs="Times New Roman"/>
        </w:rPr>
        <w:t>HindIII</w:t>
      </w:r>
      <w:proofErr w:type="spellEnd"/>
      <w:r>
        <w:rPr>
          <w:rFonts w:cs="Times New Roman"/>
        </w:rPr>
        <w:t xml:space="preserve"> digested </w:t>
      </w:r>
      <w:r w:rsidR="00661FF4">
        <w:rPr>
          <w:rFonts w:cs="Times New Roman"/>
        </w:rPr>
        <w:t xml:space="preserve">(predigested) </w:t>
      </w:r>
      <w:r>
        <w:rPr>
          <w:rFonts w:cs="Times New Roman"/>
        </w:rPr>
        <w:t>lambda phage DNA</w:t>
      </w:r>
    </w:p>
    <w:p w:rsidR="008B245E" w:rsidRPr="00D80F21" w:rsidRDefault="008B245E" w:rsidP="00D80F21">
      <w:pPr>
        <w:pStyle w:val="ListParagraph"/>
        <w:autoSpaceDE w:val="0"/>
        <w:autoSpaceDN w:val="0"/>
        <w:adjustRightInd w:val="0"/>
        <w:spacing w:after="0"/>
        <w:rPr>
          <w:rFonts w:cs="Times New Roman"/>
        </w:rPr>
      </w:pPr>
    </w:p>
    <w:p w:rsidR="006F5B2F" w:rsidRPr="00D80F21" w:rsidRDefault="006F5B2F" w:rsidP="00D80F21">
      <w:pPr>
        <w:rPr>
          <w:b/>
        </w:rPr>
      </w:pPr>
      <w:r w:rsidRPr="00D80F21">
        <w:rPr>
          <w:b/>
        </w:rPr>
        <w:t xml:space="preserve">Set the reactions up as follows, </w:t>
      </w:r>
      <w:proofErr w:type="spellStart"/>
      <w:r w:rsidRPr="00D80F21">
        <w:rPr>
          <w:b/>
        </w:rPr>
        <w:t>pipetting</w:t>
      </w:r>
      <w:proofErr w:type="spellEnd"/>
      <w:r w:rsidRPr="00D80F21">
        <w:rPr>
          <w:b/>
        </w:rPr>
        <w:t xml:space="preserve"> in the order the reagents are listed.</w:t>
      </w:r>
    </w:p>
    <w:p w:rsidR="006F5B2F" w:rsidRPr="00E24FF1" w:rsidRDefault="006F5B2F" w:rsidP="006F5B2F">
      <w:pPr>
        <w:autoSpaceDE w:val="0"/>
        <w:autoSpaceDN w:val="0"/>
        <w:adjustRightInd w:val="0"/>
        <w:spacing w:after="0"/>
        <w:rPr>
          <w:rFonts w:cs="Times New Roman"/>
        </w:rPr>
      </w:pPr>
      <w:proofErr w:type="spellStart"/>
      <w:r>
        <w:rPr>
          <w:rFonts w:cs="Times New Roman"/>
          <w:i/>
        </w:rPr>
        <w:t>HindIII</w:t>
      </w:r>
      <w:proofErr w:type="spellEnd"/>
      <w:r>
        <w:rPr>
          <w:rFonts w:cs="Times New Roman"/>
          <w:i/>
        </w:rPr>
        <w:t xml:space="preserve"> Single Digest of pZE21-lacZ plasmid </w:t>
      </w:r>
    </w:p>
    <w:tbl>
      <w:tblPr>
        <w:tblStyle w:val="TableGrid"/>
        <w:tblW w:w="0" w:type="auto"/>
        <w:tblLook w:val="04A0"/>
      </w:tblPr>
      <w:tblGrid>
        <w:gridCol w:w="5058"/>
        <w:gridCol w:w="1080"/>
      </w:tblGrid>
      <w:tr w:rsidR="006F5B2F" w:rsidRPr="00E24FF1">
        <w:tc>
          <w:tcPr>
            <w:tcW w:w="5058" w:type="dxa"/>
            <w:tcBorders>
              <w:bottom w:val="single" w:sz="4" w:space="0" w:color="auto"/>
            </w:tcBorders>
          </w:tcPr>
          <w:p w:rsidR="006F5B2F" w:rsidRPr="00E24FF1" w:rsidRDefault="006F5B2F" w:rsidP="00373FC2">
            <w:pPr>
              <w:autoSpaceDE w:val="0"/>
              <w:autoSpaceDN w:val="0"/>
              <w:adjustRightInd w:val="0"/>
              <w:rPr>
                <w:rFonts w:cs="Times New Roman"/>
                <w:b/>
                <w:bCs/>
              </w:rPr>
            </w:pPr>
            <w:r>
              <w:rPr>
                <w:rFonts w:cs="Times New Roman"/>
                <w:b/>
                <w:bCs/>
              </w:rPr>
              <w:t>Reagent</w:t>
            </w:r>
            <w:r w:rsidRPr="00E24FF1">
              <w:rPr>
                <w:rFonts w:cs="Times New Roman"/>
                <w:b/>
                <w:bCs/>
              </w:rPr>
              <w:t>:</w:t>
            </w:r>
          </w:p>
        </w:tc>
        <w:tc>
          <w:tcPr>
            <w:tcW w:w="1080" w:type="dxa"/>
          </w:tcPr>
          <w:p w:rsidR="006F5B2F" w:rsidRPr="00E24FF1" w:rsidRDefault="006F5B2F" w:rsidP="00373FC2">
            <w:pPr>
              <w:autoSpaceDE w:val="0"/>
              <w:autoSpaceDN w:val="0"/>
              <w:adjustRightInd w:val="0"/>
              <w:rPr>
                <w:rFonts w:cs="Times New Roman"/>
                <w:b/>
                <w:bCs/>
              </w:rPr>
            </w:pPr>
            <w:r w:rsidRPr="00E24FF1">
              <w:rPr>
                <w:rFonts w:cs="Times New Roman"/>
                <w:b/>
                <w:bCs/>
              </w:rPr>
              <w:t>Amount:</w:t>
            </w:r>
          </w:p>
        </w:tc>
      </w:tr>
      <w:tr w:rsidR="006F5B2F" w:rsidRPr="00E24FF1">
        <w:trPr>
          <w:trHeight w:val="260"/>
        </w:trPr>
        <w:tc>
          <w:tcPr>
            <w:tcW w:w="5058" w:type="dxa"/>
            <w:tcBorders>
              <w:top w:val="single" w:sz="4" w:space="0" w:color="auto"/>
              <w:bottom w:val="single" w:sz="4" w:space="0" w:color="auto"/>
            </w:tcBorders>
          </w:tcPr>
          <w:p w:rsidR="006F5B2F" w:rsidRPr="00E24FF1" w:rsidRDefault="006F5B2F" w:rsidP="00373FC2">
            <w:pPr>
              <w:autoSpaceDE w:val="0"/>
              <w:autoSpaceDN w:val="0"/>
              <w:adjustRightInd w:val="0"/>
              <w:rPr>
                <w:rFonts w:cs="Times New Roman"/>
                <w:b/>
                <w:bCs/>
              </w:rPr>
            </w:pPr>
            <w:r>
              <w:rPr>
                <w:rFonts w:cs="Times New Roman"/>
                <w:b/>
                <w:bCs/>
              </w:rPr>
              <w:t>Sterile water</w:t>
            </w:r>
          </w:p>
        </w:tc>
        <w:tc>
          <w:tcPr>
            <w:tcW w:w="1080" w:type="dxa"/>
            <w:tcBorders>
              <w:bottom w:val="single" w:sz="4" w:space="0" w:color="auto"/>
            </w:tcBorders>
          </w:tcPr>
          <w:p w:rsidR="006F5B2F" w:rsidRPr="00E24FF1" w:rsidRDefault="006F5B2F" w:rsidP="006505B4">
            <w:pPr>
              <w:autoSpaceDE w:val="0"/>
              <w:autoSpaceDN w:val="0"/>
              <w:adjustRightInd w:val="0"/>
              <w:rPr>
                <w:rFonts w:cs="Times New Roman"/>
                <w:b/>
                <w:bCs/>
              </w:rPr>
            </w:pPr>
            <w:r>
              <w:rPr>
                <w:rFonts w:cs="Times New Roman"/>
                <w:b/>
                <w:bCs/>
              </w:rPr>
              <w:t>1</w:t>
            </w:r>
            <w:r w:rsidR="006505B4">
              <w:rPr>
                <w:rFonts w:cs="Times New Roman"/>
                <w:b/>
                <w:bCs/>
              </w:rPr>
              <w:t>9</w:t>
            </w:r>
            <w:r>
              <w:rPr>
                <w:rFonts w:cs="Times New Roman"/>
                <w:b/>
                <w:bCs/>
              </w:rPr>
              <w:t>.5 µl</w:t>
            </w:r>
          </w:p>
        </w:tc>
      </w:tr>
      <w:tr w:rsidR="006F5B2F" w:rsidRPr="00E24FF1">
        <w:trPr>
          <w:trHeight w:val="200"/>
        </w:trPr>
        <w:tc>
          <w:tcPr>
            <w:tcW w:w="5058" w:type="dxa"/>
            <w:tcBorders>
              <w:top w:val="single" w:sz="4" w:space="0" w:color="auto"/>
            </w:tcBorders>
          </w:tcPr>
          <w:p w:rsidR="006F5B2F" w:rsidRDefault="006F5B2F" w:rsidP="00373FC2">
            <w:pPr>
              <w:autoSpaceDE w:val="0"/>
              <w:autoSpaceDN w:val="0"/>
              <w:adjustRightInd w:val="0"/>
              <w:rPr>
                <w:rFonts w:cs="Times New Roman"/>
                <w:b/>
                <w:bCs/>
              </w:rPr>
            </w:pPr>
            <w:r w:rsidRPr="00E24FF1">
              <w:rPr>
                <w:rFonts w:cs="Times New Roman"/>
                <w:b/>
                <w:bCs/>
              </w:rPr>
              <w:t xml:space="preserve">Plasmid </w:t>
            </w:r>
            <w:r w:rsidRPr="00DD0466">
              <w:rPr>
                <w:rFonts w:cs="Times New Roman"/>
                <w:b/>
                <w:bCs/>
              </w:rPr>
              <w:t>(</w:t>
            </w:r>
            <w:r>
              <w:rPr>
                <w:b/>
              </w:rPr>
              <w:t>pZE21-LacZ</w:t>
            </w:r>
            <w:r w:rsidRPr="00DD0466">
              <w:rPr>
                <w:b/>
              </w:rPr>
              <w:t>)</w:t>
            </w:r>
            <w:r>
              <w:rPr>
                <w:rFonts w:cs="Times New Roman"/>
                <w:b/>
                <w:bCs/>
              </w:rPr>
              <w:t xml:space="preserve"> </w:t>
            </w:r>
            <w:r w:rsidRPr="00E24FF1">
              <w:rPr>
                <w:rFonts w:cs="Times New Roman"/>
                <w:b/>
                <w:bCs/>
              </w:rPr>
              <w:t>DNA</w:t>
            </w:r>
            <w:r>
              <w:rPr>
                <w:rFonts w:cs="Times New Roman"/>
                <w:b/>
                <w:bCs/>
              </w:rPr>
              <w:t xml:space="preserve"> (86 </w:t>
            </w:r>
            <w:proofErr w:type="spellStart"/>
            <w:r>
              <w:rPr>
                <w:rFonts w:cs="Times New Roman"/>
                <w:b/>
                <w:bCs/>
              </w:rPr>
              <w:t>ng</w:t>
            </w:r>
            <w:proofErr w:type="spellEnd"/>
            <w:r>
              <w:rPr>
                <w:rFonts w:cs="Times New Roman"/>
                <w:b/>
                <w:bCs/>
              </w:rPr>
              <w:t>/µl)</w:t>
            </w:r>
          </w:p>
        </w:tc>
        <w:tc>
          <w:tcPr>
            <w:tcW w:w="1080" w:type="dxa"/>
            <w:tcBorders>
              <w:top w:val="single" w:sz="4" w:space="0" w:color="auto"/>
            </w:tcBorders>
          </w:tcPr>
          <w:p w:rsidR="006F5B2F" w:rsidRDefault="006F5B2F" w:rsidP="006F5B2F">
            <w:pPr>
              <w:autoSpaceDE w:val="0"/>
              <w:autoSpaceDN w:val="0"/>
              <w:adjustRightInd w:val="0"/>
              <w:rPr>
                <w:rFonts w:cs="Times New Roman"/>
                <w:b/>
                <w:bCs/>
              </w:rPr>
            </w:pPr>
            <w:r>
              <w:rPr>
                <w:rFonts w:cs="Times New Roman"/>
                <w:b/>
                <w:bCs/>
              </w:rPr>
              <w:t>3.5 µl</w:t>
            </w:r>
          </w:p>
        </w:tc>
      </w:tr>
      <w:tr w:rsidR="006F5B2F" w:rsidRPr="00E24FF1">
        <w:tc>
          <w:tcPr>
            <w:tcW w:w="5058" w:type="dxa"/>
          </w:tcPr>
          <w:p w:rsidR="006F5B2F" w:rsidRPr="00E24FF1" w:rsidRDefault="006F5B2F" w:rsidP="00373FC2">
            <w:pPr>
              <w:autoSpaceDE w:val="0"/>
              <w:autoSpaceDN w:val="0"/>
              <w:adjustRightInd w:val="0"/>
              <w:rPr>
                <w:rFonts w:cs="Times New Roman"/>
                <w:b/>
                <w:bCs/>
              </w:rPr>
            </w:pPr>
            <w:r w:rsidRPr="00E24FF1">
              <w:rPr>
                <w:rFonts w:cs="Times New Roman"/>
                <w:b/>
                <w:bCs/>
              </w:rPr>
              <w:t>NEB Buffer 2 (10X)</w:t>
            </w:r>
            <w:r>
              <w:rPr>
                <w:rFonts w:cs="Times New Roman"/>
                <w:b/>
                <w:bCs/>
              </w:rPr>
              <w:t xml:space="preserve"> </w:t>
            </w:r>
          </w:p>
        </w:tc>
        <w:tc>
          <w:tcPr>
            <w:tcW w:w="1080" w:type="dxa"/>
          </w:tcPr>
          <w:p w:rsidR="006F5B2F" w:rsidRPr="00E24FF1" w:rsidRDefault="006F5B2F" w:rsidP="00373FC2">
            <w:pPr>
              <w:autoSpaceDE w:val="0"/>
              <w:autoSpaceDN w:val="0"/>
              <w:adjustRightInd w:val="0"/>
              <w:rPr>
                <w:rFonts w:cs="Times New Roman"/>
                <w:b/>
                <w:bCs/>
              </w:rPr>
            </w:pPr>
            <w:r>
              <w:rPr>
                <w:rFonts w:cs="Times New Roman"/>
                <w:b/>
                <w:bCs/>
              </w:rPr>
              <w:t>3 µl</w:t>
            </w:r>
          </w:p>
        </w:tc>
      </w:tr>
      <w:tr w:rsidR="006F5B2F" w:rsidRPr="00E24FF1">
        <w:tc>
          <w:tcPr>
            <w:tcW w:w="5058" w:type="dxa"/>
          </w:tcPr>
          <w:p w:rsidR="006F5B2F" w:rsidRPr="00E24FF1" w:rsidRDefault="006F5B2F" w:rsidP="00373FC2">
            <w:pPr>
              <w:autoSpaceDE w:val="0"/>
              <w:autoSpaceDN w:val="0"/>
              <w:adjustRightInd w:val="0"/>
              <w:rPr>
                <w:rFonts w:cs="Times New Roman"/>
                <w:b/>
                <w:bCs/>
              </w:rPr>
            </w:pPr>
            <w:r>
              <w:rPr>
                <w:rFonts w:cs="Times New Roman"/>
                <w:b/>
                <w:bCs/>
              </w:rPr>
              <w:t>BSA (10</w:t>
            </w:r>
            <w:r w:rsidRPr="00E24FF1">
              <w:rPr>
                <w:rFonts w:cs="Times New Roman"/>
                <w:b/>
                <w:bCs/>
              </w:rPr>
              <w:t>X)</w:t>
            </w:r>
          </w:p>
        </w:tc>
        <w:tc>
          <w:tcPr>
            <w:tcW w:w="1080" w:type="dxa"/>
          </w:tcPr>
          <w:p w:rsidR="006F5B2F" w:rsidRPr="00E24FF1" w:rsidRDefault="006F5B2F" w:rsidP="00373FC2">
            <w:pPr>
              <w:autoSpaceDE w:val="0"/>
              <w:autoSpaceDN w:val="0"/>
              <w:adjustRightInd w:val="0"/>
              <w:rPr>
                <w:rFonts w:cs="Times New Roman"/>
                <w:b/>
                <w:bCs/>
              </w:rPr>
            </w:pPr>
            <w:r>
              <w:rPr>
                <w:rFonts w:cs="Times New Roman"/>
                <w:b/>
                <w:bCs/>
              </w:rPr>
              <w:t>3 µl</w:t>
            </w:r>
          </w:p>
        </w:tc>
      </w:tr>
      <w:tr w:rsidR="006F5B2F" w:rsidRPr="00E24FF1">
        <w:tc>
          <w:tcPr>
            <w:tcW w:w="5058" w:type="dxa"/>
          </w:tcPr>
          <w:p w:rsidR="006F5B2F" w:rsidRPr="00E24FF1" w:rsidRDefault="006F5B2F" w:rsidP="00373FC2">
            <w:pPr>
              <w:autoSpaceDE w:val="0"/>
              <w:autoSpaceDN w:val="0"/>
              <w:adjustRightInd w:val="0"/>
              <w:rPr>
                <w:rFonts w:cs="Times New Roman"/>
                <w:b/>
                <w:bCs/>
              </w:rPr>
            </w:pPr>
            <w:proofErr w:type="spellStart"/>
            <w:r w:rsidRPr="00E24FF1">
              <w:rPr>
                <w:rFonts w:cs="Times New Roman"/>
                <w:b/>
                <w:bCs/>
              </w:rPr>
              <w:t>HindIII</w:t>
            </w:r>
            <w:proofErr w:type="spellEnd"/>
            <w:r w:rsidRPr="00E24FF1">
              <w:rPr>
                <w:rFonts w:cs="Times New Roman"/>
                <w:b/>
                <w:bCs/>
              </w:rPr>
              <w:t xml:space="preserve"> (10 units/</w:t>
            </w:r>
            <w:proofErr w:type="spellStart"/>
            <w:r w:rsidRPr="00E24FF1">
              <w:rPr>
                <w:rFonts w:cs="Times New Roman"/>
                <w:b/>
                <w:bCs/>
              </w:rPr>
              <w:t>ul</w:t>
            </w:r>
            <w:proofErr w:type="spellEnd"/>
            <w:r w:rsidRPr="00E24FF1">
              <w:rPr>
                <w:rFonts w:cs="Times New Roman"/>
                <w:b/>
                <w:bCs/>
              </w:rPr>
              <w:t>)</w:t>
            </w:r>
            <w:r>
              <w:rPr>
                <w:rFonts w:cs="Times New Roman"/>
                <w:b/>
                <w:bCs/>
              </w:rPr>
              <w:t xml:space="preserve"> *</w:t>
            </w:r>
          </w:p>
        </w:tc>
        <w:tc>
          <w:tcPr>
            <w:tcW w:w="1080" w:type="dxa"/>
          </w:tcPr>
          <w:p w:rsidR="006F5B2F" w:rsidRPr="00E24FF1" w:rsidRDefault="006F5B2F" w:rsidP="00373FC2">
            <w:pPr>
              <w:autoSpaceDE w:val="0"/>
              <w:autoSpaceDN w:val="0"/>
              <w:adjustRightInd w:val="0"/>
              <w:rPr>
                <w:rFonts w:cs="Times New Roman"/>
                <w:b/>
                <w:bCs/>
              </w:rPr>
            </w:pPr>
            <w:r w:rsidRPr="00E24FF1">
              <w:rPr>
                <w:rFonts w:cs="Times New Roman"/>
                <w:b/>
                <w:bCs/>
              </w:rPr>
              <w:t xml:space="preserve">1 </w:t>
            </w:r>
            <w:proofErr w:type="spellStart"/>
            <w:r w:rsidRPr="00E24FF1">
              <w:rPr>
                <w:rFonts w:cs="Times New Roman"/>
                <w:b/>
                <w:bCs/>
              </w:rPr>
              <w:t>ul</w:t>
            </w:r>
            <w:proofErr w:type="spellEnd"/>
          </w:p>
        </w:tc>
      </w:tr>
    </w:tbl>
    <w:p w:rsidR="006F5B2F" w:rsidRPr="00D80F21" w:rsidRDefault="006F5B2F">
      <w:pPr>
        <w:rPr>
          <w:rFonts w:cs="Times New Roman"/>
        </w:rPr>
      </w:pPr>
      <w:r w:rsidRPr="00E24FF1">
        <w:rPr>
          <w:rFonts w:cs="Times New Roman"/>
        </w:rPr>
        <w:t xml:space="preserve">Total Volume:  </w:t>
      </w:r>
      <w:r>
        <w:rPr>
          <w:rFonts w:cs="Times New Roman"/>
        </w:rPr>
        <w:t>30</w:t>
      </w:r>
      <w:r w:rsidRPr="00E24FF1">
        <w:rPr>
          <w:rFonts w:cs="Times New Roman"/>
        </w:rPr>
        <w:t xml:space="preserve"> </w:t>
      </w:r>
      <w:proofErr w:type="spellStart"/>
      <w:r w:rsidRPr="00E24FF1">
        <w:rPr>
          <w:rFonts w:cs="Times New Roman"/>
        </w:rPr>
        <w:t>ul</w:t>
      </w:r>
      <w:proofErr w:type="spellEnd"/>
    </w:p>
    <w:p w:rsidR="006F5B2F" w:rsidRPr="00E24FF1" w:rsidRDefault="006F5B2F" w:rsidP="006F5B2F">
      <w:pPr>
        <w:autoSpaceDE w:val="0"/>
        <w:autoSpaceDN w:val="0"/>
        <w:adjustRightInd w:val="0"/>
        <w:spacing w:after="0"/>
        <w:rPr>
          <w:rFonts w:cs="Times New Roman"/>
        </w:rPr>
      </w:pPr>
      <w:proofErr w:type="spellStart"/>
      <w:r>
        <w:rPr>
          <w:rFonts w:cs="Times New Roman"/>
          <w:i/>
        </w:rPr>
        <w:t>HindIII/KpnI</w:t>
      </w:r>
      <w:proofErr w:type="spellEnd"/>
      <w:r>
        <w:rPr>
          <w:rFonts w:cs="Times New Roman"/>
          <w:i/>
        </w:rPr>
        <w:t xml:space="preserve"> Double Digest of pZE21-lacZ plasmid </w:t>
      </w:r>
    </w:p>
    <w:tbl>
      <w:tblPr>
        <w:tblStyle w:val="TableGrid"/>
        <w:tblW w:w="0" w:type="auto"/>
        <w:tblLook w:val="04A0"/>
      </w:tblPr>
      <w:tblGrid>
        <w:gridCol w:w="5058"/>
        <w:gridCol w:w="1080"/>
      </w:tblGrid>
      <w:tr w:rsidR="006F5B2F" w:rsidRPr="00E24FF1">
        <w:tc>
          <w:tcPr>
            <w:tcW w:w="5058" w:type="dxa"/>
            <w:tcBorders>
              <w:bottom w:val="single" w:sz="4" w:space="0" w:color="auto"/>
            </w:tcBorders>
          </w:tcPr>
          <w:p w:rsidR="006F5B2F" w:rsidRPr="00E24FF1" w:rsidRDefault="006F5B2F" w:rsidP="00373FC2">
            <w:pPr>
              <w:autoSpaceDE w:val="0"/>
              <w:autoSpaceDN w:val="0"/>
              <w:adjustRightInd w:val="0"/>
              <w:rPr>
                <w:rFonts w:cs="Times New Roman"/>
                <w:b/>
                <w:bCs/>
              </w:rPr>
            </w:pPr>
            <w:r>
              <w:rPr>
                <w:rFonts w:cs="Times New Roman"/>
                <w:b/>
                <w:bCs/>
              </w:rPr>
              <w:t>Reagent</w:t>
            </w:r>
            <w:r w:rsidRPr="00E24FF1">
              <w:rPr>
                <w:rFonts w:cs="Times New Roman"/>
                <w:b/>
                <w:bCs/>
              </w:rPr>
              <w:t>:</w:t>
            </w:r>
          </w:p>
        </w:tc>
        <w:tc>
          <w:tcPr>
            <w:tcW w:w="1080" w:type="dxa"/>
          </w:tcPr>
          <w:p w:rsidR="006F5B2F" w:rsidRPr="00E24FF1" w:rsidRDefault="006F5B2F" w:rsidP="00373FC2">
            <w:pPr>
              <w:autoSpaceDE w:val="0"/>
              <w:autoSpaceDN w:val="0"/>
              <w:adjustRightInd w:val="0"/>
              <w:rPr>
                <w:rFonts w:cs="Times New Roman"/>
                <w:b/>
                <w:bCs/>
              </w:rPr>
            </w:pPr>
            <w:r w:rsidRPr="00E24FF1">
              <w:rPr>
                <w:rFonts w:cs="Times New Roman"/>
                <w:b/>
                <w:bCs/>
              </w:rPr>
              <w:t>Amount:</w:t>
            </w:r>
          </w:p>
        </w:tc>
      </w:tr>
      <w:tr w:rsidR="006F5B2F" w:rsidRPr="00E24FF1">
        <w:trPr>
          <w:trHeight w:val="260"/>
        </w:trPr>
        <w:tc>
          <w:tcPr>
            <w:tcW w:w="5058" w:type="dxa"/>
            <w:tcBorders>
              <w:top w:val="single" w:sz="4" w:space="0" w:color="auto"/>
              <w:bottom w:val="single" w:sz="4" w:space="0" w:color="auto"/>
            </w:tcBorders>
          </w:tcPr>
          <w:p w:rsidR="006F5B2F" w:rsidRPr="00E24FF1" w:rsidRDefault="006F5B2F" w:rsidP="00373FC2">
            <w:pPr>
              <w:autoSpaceDE w:val="0"/>
              <w:autoSpaceDN w:val="0"/>
              <w:adjustRightInd w:val="0"/>
              <w:rPr>
                <w:rFonts w:cs="Times New Roman"/>
                <w:b/>
                <w:bCs/>
              </w:rPr>
            </w:pPr>
            <w:r>
              <w:rPr>
                <w:rFonts w:cs="Times New Roman"/>
                <w:b/>
                <w:bCs/>
              </w:rPr>
              <w:t>Sterile water</w:t>
            </w:r>
          </w:p>
        </w:tc>
        <w:tc>
          <w:tcPr>
            <w:tcW w:w="1080" w:type="dxa"/>
            <w:tcBorders>
              <w:bottom w:val="single" w:sz="4" w:space="0" w:color="auto"/>
            </w:tcBorders>
          </w:tcPr>
          <w:p w:rsidR="006F5B2F" w:rsidRPr="00E24FF1" w:rsidRDefault="006F5B2F" w:rsidP="006F5B2F">
            <w:pPr>
              <w:autoSpaceDE w:val="0"/>
              <w:autoSpaceDN w:val="0"/>
              <w:adjustRightInd w:val="0"/>
              <w:rPr>
                <w:rFonts w:cs="Times New Roman"/>
                <w:b/>
                <w:bCs/>
              </w:rPr>
            </w:pPr>
            <w:r>
              <w:rPr>
                <w:rFonts w:cs="Times New Roman"/>
                <w:b/>
                <w:bCs/>
              </w:rPr>
              <w:t>18.5 µl</w:t>
            </w:r>
          </w:p>
        </w:tc>
      </w:tr>
      <w:tr w:rsidR="006F5B2F" w:rsidRPr="00E24FF1">
        <w:trPr>
          <w:trHeight w:val="200"/>
        </w:trPr>
        <w:tc>
          <w:tcPr>
            <w:tcW w:w="5058" w:type="dxa"/>
            <w:tcBorders>
              <w:top w:val="single" w:sz="4" w:space="0" w:color="auto"/>
            </w:tcBorders>
          </w:tcPr>
          <w:p w:rsidR="006F5B2F" w:rsidRDefault="006F5B2F" w:rsidP="00373FC2">
            <w:pPr>
              <w:autoSpaceDE w:val="0"/>
              <w:autoSpaceDN w:val="0"/>
              <w:adjustRightInd w:val="0"/>
              <w:rPr>
                <w:rFonts w:cs="Times New Roman"/>
                <w:b/>
                <w:bCs/>
              </w:rPr>
            </w:pPr>
            <w:r w:rsidRPr="00E24FF1">
              <w:rPr>
                <w:rFonts w:cs="Times New Roman"/>
                <w:b/>
                <w:bCs/>
              </w:rPr>
              <w:t xml:space="preserve">Plasmid </w:t>
            </w:r>
            <w:r w:rsidRPr="00DD0466">
              <w:rPr>
                <w:rFonts w:cs="Times New Roman"/>
                <w:b/>
                <w:bCs/>
              </w:rPr>
              <w:t>(</w:t>
            </w:r>
            <w:r>
              <w:rPr>
                <w:b/>
              </w:rPr>
              <w:t>pZE21-LacZ</w:t>
            </w:r>
            <w:r w:rsidRPr="00DD0466">
              <w:rPr>
                <w:b/>
              </w:rPr>
              <w:t>)</w:t>
            </w:r>
            <w:r>
              <w:rPr>
                <w:rFonts w:cs="Times New Roman"/>
                <w:b/>
                <w:bCs/>
              </w:rPr>
              <w:t xml:space="preserve"> </w:t>
            </w:r>
            <w:r w:rsidRPr="00E24FF1">
              <w:rPr>
                <w:rFonts w:cs="Times New Roman"/>
                <w:b/>
                <w:bCs/>
              </w:rPr>
              <w:t>DNA</w:t>
            </w:r>
            <w:r>
              <w:rPr>
                <w:rFonts w:cs="Times New Roman"/>
                <w:b/>
                <w:bCs/>
              </w:rPr>
              <w:t xml:space="preserve"> (86 </w:t>
            </w:r>
            <w:proofErr w:type="spellStart"/>
            <w:r>
              <w:rPr>
                <w:rFonts w:cs="Times New Roman"/>
                <w:b/>
                <w:bCs/>
              </w:rPr>
              <w:t>ng</w:t>
            </w:r>
            <w:proofErr w:type="spellEnd"/>
            <w:r>
              <w:rPr>
                <w:rFonts w:cs="Times New Roman"/>
                <w:b/>
                <w:bCs/>
              </w:rPr>
              <w:t>/µl)</w:t>
            </w:r>
          </w:p>
        </w:tc>
        <w:tc>
          <w:tcPr>
            <w:tcW w:w="1080" w:type="dxa"/>
            <w:tcBorders>
              <w:top w:val="single" w:sz="4" w:space="0" w:color="auto"/>
            </w:tcBorders>
          </w:tcPr>
          <w:p w:rsidR="006F5B2F" w:rsidRDefault="006F5B2F" w:rsidP="006F5B2F">
            <w:pPr>
              <w:autoSpaceDE w:val="0"/>
              <w:autoSpaceDN w:val="0"/>
              <w:adjustRightInd w:val="0"/>
              <w:rPr>
                <w:rFonts w:cs="Times New Roman"/>
                <w:b/>
                <w:bCs/>
              </w:rPr>
            </w:pPr>
            <w:r>
              <w:rPr>
                <w:rFonts w:cs="Times New Roman"/>
                <w:b/>
                <w:bCs/>
              </w:rPr>
              <w:t>3.5 µl</w:t>
            </w:r>
          </w:p>
        </w:tc>
      </w:tr>
      <w:tr w:rsidR="006F5B2F" w:rsidRPr="00E24FF1">
        <w:tc>
          <w:tcPr>
            <w:tcW w:w="5058" w:type="dxa"/>
          </w:tcPr>
          <w:p w:rsidR="006F5B2F" w:rsidRPr="00E24FF1" w:rsidRDefault="006F5B2F" w:rsidP="00373FC2">
            <w:pPr>
              <w:autoSpaceDE w:val="0"/>
              <w:autoSpaceDN w:val="0"/>
              <w:adjustRightInd w:val="0"/>
              <w:rPr>
                <w:rFonts w:cs="Times New Roman"/>
                <w:b/>
                <w:bCs/>
              </w:rPr>
            </w:pPr>
            <w:r w:rsidRPr="00E24FF1">
              <w:rPr>
                <w:rFonts w:cs="Times New Roman"/>
                <w:b/>
                <w:bCs/>
              </w:rPr>
              <w:t>NEB Buffer 2 (10X)</w:t>
            </w:r>
            <w:r>
              <w:rPr>
                <w:rFonts w:cs="Times New Roman"/>
                <w:b/>
                <w:bCs/>
              </w:rPr>
              <w:t xml:space="preserve"> </w:t>
            </w:r>
          </w:p>
        </w:tc>
        <w:tc>
          <w:tcPr>
            <w:tcW w:w="1080" w:type="dxa"/>
          </w:tcPr>
          <w:p w:rsidR="006F5B2F" w:rsidRPr="00E24FF1" w:rsidRDefault="006F5B2F" w:rsidP="00373FC2">
            <w:pPr>
              <w:autoSpaceDE w:val="0"/>
              <w:autoSpaceDN w:val="0"/>
              <w:adjustRightInd w:val="0"/>
              <w:rPr>
                <w:rFonts w:cs="Times New Roman"/>
                <w:b/>
                <w:bCs/>
              </w:rPr>
            </w:pPr>
            <w:r>
              <w:rPr>
                <w:rFonts w:cs="Times New Roman"/>
                <w:b/>
                <w:bCs/>
              </w:rPr>
              <w:t>3 µl</w:t>
            </w:r>
          </w:p>
        </w:tc>
      </w:tr>
      <w:tr w:rsidR="006F5B2F" w:rsidRPr="00E24FF1">
        <w:tc>
          <w:tcPr>
            <w:tcW w:w="5058" w:type="dxa"/>
          </w:tcPr>
          <w:p w:rsidR="006F5B2F" w:rsidRPr="00E24FF1" w:rsidRDefault="006F5B2F" w:rsidP="00373FC2">
            <w:pPr>
              <w:autoSpaceDE w:val="0"/>
              <w:autoSpaceDN w:val="0"/>
              <w:adjustRightInd w:val="0"/>
              <w:rPr>
                <w:rFonts w:cs="Times New Roman"/>
                <w:b/>
                <w:bCs/>
              </w:rPr>
            </w:pPr>
            <w:r>
              <w:rPr>
                <w:rFonts w:cs="Times New Roman"/>
                <w:b/>
                <w:bCs/>
              </w:rPr>
              <w:t>BSA (10</w:t>
            </w:r>
            <w:r w:rsidRPr="00E24FF1">
              <w:rPr>
                <w:rFonts w:cs="Times New Roman"/>
                <w:b/>
                <w:bCs/>
              </w:rPr>
              <w:t>X)</w:t>
            </w:r>
          </w:p>
        </w:tc>
        <w:tc>
          <w:tcPr>
            <w:tcW w:w="1080" w:type="dxa"/>
          </w:tcPr>
          <w:p w:rsidR="006F5B2F" w:rsidRPr="00E24FF1" w:rsidRDefault="006F5B2F" w:rsidP="00373FC2">
            <w:pPr>
              <w:autoSpaceDE w:val="0"/>
              <w:autoSpaceDN w:val="0"/>
              <w:adjustRightInd w:val="0"/>
              <w:rPr>
                <w:rFonts w:cs="Times New Roman"/>
                <w:b/>
                <w:bCs/>
              </w:rPr>
            </w:pPr>
            <w:r>
              <w:rPr>
                <w:rFonts w:cs="Times New Roman"/>
                <w:b/>
                <w:bCs/>
              </w:rPr>
              <w:t>3 µl</w:t>
            </w:r>
          </w:p>
        </w:tc>
      </w:tr>
      <w:tr w:rsidR="006F5B2F" w:rsidRPr="00E24FF1">
        <w:tc>
          <w:tcPr>
            <w:tcW w:w="5058" w:type="dxa"/>
          </w:tcPr>
          <w:p w:rsidR="006F5B2F" w:rsidRPr="00E24FF1" w:rsidRDefault="006F5B2F" w:rsidP="00373FC2">
            <w:pPr>
              <w:autoSpaceDE w:val="0"/>
              <w:autoSpaceDN w:val="0"/>
              <w:adjustRightInd w:val="0"/>
              <w:rPr>
                <w:rFonts w:cs="Times New Roman"/>
                <w:b/>
                <w:bCs/>
              </w:rPr>
            </w:pPr>
            <w:proofErr w:type="spellStart"/>
            <w:r w:rsidRPr="00E24FF1">
              <w:rPr>
                <w:rFonts w:cs="Times New Roman"/>
                <w:b/>
                <w:bCs/>
              </w:rPr>
              <w:t>KpnI</w:t>
            </w:r>
            <w:proofErr w:type="spellEnd"/>
            <w:r w:rsidRPr="00E24FF1">
              <w:rPr>
                <w:rFonts w:cs="Times New Roman"/>
                <w:b/>
                <w:bCs/>
              </w:rPr>
              <w:t xml:space="preserve"> (10 units/</w:t>
            </w:r>
            <w:proofErr w:type="spellStart"/>
            <w:r w:rsidRPr="00E24FF1">
              <w:rPr>
                <w:rFonts w:cs="Times New Roman"/>
                <w:b/>
                <w:bCs/>
              </w:rPr>
              <w:t>ul</w:t>
            </w:r>
            <w:proofErr w:type="spellEnd"/>
            <w:r w:rsidRPr="00E24FF1">
              <w:rPr>
                <w:rFonts w:cs="Times New Roman"/>
                <w:b/>
                <w:bCs/>
              </w:rPr>
              <w:t xml:space="preserve">) </w:t>
            </w:r>
            <w:r>
              <w:rPr>
                <w:rFonts w:cs="Times New Roman"/>
                <w:b/>
                <w:bCs/>
              </w:rPr>
              <w:t>*</w:t>
            </w:r>
          </w:p>
        </w:tc>
        <w:tc>
          <w:tcPr>
            <w:tcW w:w="1080" w:type="dxa"/>
          </w:tcPr>
          <w:p w:rsidR="006F5B2F" w:rsidRPr="00E24FF1" w:rsidRDefault="006F5B2F" w:rsidP="00373FC2">
            <w:pPr>
              <w:autoSpaceDE w:val="0"/>
              <w:autoSpaceDN w:val="0"/>
              <w:adjustRightInd w:val="0"/>
              <w:rPr>
                <w:rFonts w:cs="Times New Roman"/>
                <w:b/>
                <w:bCs/>
              </w:rPr>
            </w:pPr>
            <w:r w:rsidRPr="00E24FF1">
              <w:rPr>
                <w:rFonts w:cs="Times New Roman"/>
                <w:b/>
                <w:bCs/>
              </w:rPr>
              <w:t xml:space="preserve">1 </w:t>
            </w:r>
            <w:proofErr w:type="spellStart"/>
            <w:r w:rsidRPr="00E24FF1">
              <w:rPr>
                <w:rFonts w:cs="Times New Roman"/>
                <w:b/>
                <w:bCs/>
              </w:rPr>
              <w:t>ul</w:t>
            </w:r>
            <w:proofErr w:type="spellEnd"/>
          </w:p>
        </w:tc>
      </w:tr>
      <w:tr w:rsidR="006F5B2F" w:rsidRPr="00E24FF1">
        <w:tc>
          <w:tcPr>
            <w:tcW w:w="5058" w:type="dxa"/>
          </w:tcPr>
          <w:p w:rsidR="006F5B2F" w:rsidRPr="00E24FF1" w:rsidRDefault="006F5B2F" w:rsidP="00373FC2">
            <w:pPr>
              <w:autoSpaceDE w:val="0"/>
              <w:autoSpaceDN w:val="0"/>
              <w:adjustRightInd w:val="0"/>
              <w:rPr>
                <w:rFonts w:cs="Times New Roman"/>
                <w:b/>
                <w:bCs/>
              </w:rPr>
            </w:pPr>
            <w:proofErr w:type="spellStart"/>
            <w:r w:rsidRPr="00E24FF1">
              <w:rPr>
                <w:rFonts w:cs="Times New Roman"/>
                <w:b/>
                <w:bCs/>
              </w:rPr>
              <w:t>HindIII</w:t>
            </w:r>
            <w:proofErr w:type="spellEnd"/>
            <w:r w:rsidRPr="00E24FF1">
              <w:rPr>
                <w:rFonts w:cs="Times New Roman"/>
                <w:b/>
                <w:bCs/>
              </w:rPr>
              <w:t xml:space="preserve"> (10 units/</w:t>
            </w:r>
            <w:proofErr w:type="spellStart"/>
            <w:r w:rsidRPr="00E24FF1">
              <w:rPr>
                <w:rFonts w:cs="Times New Roman"/>
                <w:b/>
                <w:bCs/>
              </w:rPr>
              <w:t>ul</w:t>
            </w:r>
            <w:proofErr w:type="spellEnd"/>
            <w:r w:rsidRPr="00E24FF1">
              <w:rPr>
                <w:rFonts w:cs="Times New Roman"/>
                <w:b/>
                <w:bCs/>
              </w:rPr>
              <w:t>)</w:t>
            </w:r>
            <w:r>
              <w:rPr>
                <w:rFonts w:cs="Times New Roman"/>
                <w:b/>
                <w:bCs/>
              </w:rPr>
              <w:t xml:space="preserve"> *</w:t>
            </w:r>
          </w:p>
        </w:tc>
        <w:tc>
          <w:tcPr>
            <w:tcW w:w="1080" w:type="dxa"/>
          </w:tcPr>
          <w:p w:rsidR="006F5B2F" w:rsidRPr="00E24FF1" w:rsidRDefault="006F5B2F" w:rsidP="00373FC2">
            <w:pPr>
              <w:autoSpaceDE w:val="0"/>
              <w:autoSpaceDN w:val="0"/>
              <w:adjustRightInd w:val="0"/>
              <w:rPr>
                <w:rFonts w:cs="Times New Roman"/>
                <w:b/>
                <w:bCs/>
              </w:rPr>
            </w:pPr>
            <w:r w:rsidRPr="00E24FF1">
              <w:rPr>
                <w:rFonts w:cs="Times New Roman"/>
                <w:b/>
                <w:bCs/>
              </w:rPr>
              <w:t xml:space="preserve">1 </w:t>
            </w:r>
            <w:proofErr w:type="spellStart"/>
            <w:r w:rsidRPr="00E24FF1">
              <w:rPr>
                <w:rFonts w:cs="Times New Roman"/>
                <w:b/>
                <w:bCs/>
              </w:rPr>
              <w:t>ul</w:t>
            </w:r>
            <w:proofErr w:type="spellEnd"/>
          </w:p>
        </w:tc>
      </w:tr>
    </w:tbl>
    <w:p w:rsidR="00373FC2" w:rsidRDefault="006F5B2F">
      <w:pPr>
        <w:rPr>
          <w:rFonts w:cs="Times New Roman"/>
        </w:rPr>
      </w:pPr>
      <w:r w:rsidRPr="00E24FF1">
        <w:rPr>
          <w:rFonts w:cs="Times New Roman"/>
        </w:rPr>
        <w:t xml:space="preserve">Total Volume:  </w:t>
      </w:r>
      <w:r w:rsidR="00C55D48">
        <w:rPr>
          <w:rFonts w:cs="Times New Roman"/>
        </w:rPr>
        <w:t>30</w:t>
      </w:r>
      <w:r w:rsidRPr="00E24FF1">
        <w:rPr>
          <w:rFonts w:cs="Times New Roman"/>
        </w:rPr>
        <w:t xml:space="preserve"> </w:t>
      </w:r>
      <w:proofErr w:type="spellStart"/>
      <w:r w:rsidRPr="00E24FF1">
        <w:rPr>
          <w:rFonts w:cs="Times New Roman"/>
        </w:rPr>
        <w:t>ul</w:t>
      </w:r>
      <w:proofErr w:type="spellEnd"/>
    </w:p>
    <w:p w:rsidR="002A317E" w:rsidRDefault="002A317E" w:rsidP="00373FC2">
      <w:pPr>
        <w:autoSpaceDE w:val="0"/>
        <w:autoSpaceDN w:val="0"/>
        <w:adjustRightInd w:val="0"/>
        <w:spacing w:after="0"/>
        <w:rPr>
          <w:rFonts w:cs="Times New Roman"/>
          <w:i/>
        </w:rPr>
      </w:pPr>
    </w:p>
    <w:p w:rsidR="00373FC2" w:rsidRDefault="00373FC2" w:rsidP="00373FC2">
      <w:pPr>
        <w:autoSpaceDE w:val="0"/>
        <w:autoSpaceDN w:val="0"/>
        <w:adjustRightInd w:val="0"/>
        <w:spacing w:after="0"/>
        <w:rPr>
          <w:rFonts w:cs="Times New Roman"/>
          <w:i/>
        </w:rPr>
      </w:pPr>
    </w:p>
    <w:p w:rsidR="00D80F21" w:rsidRDefault="00D80F21" w:rsidP="00373FC2">
      <w:pPr>
        <w:autoSpaceDE w:val="0"/>
        <w:autoSpaceDN w:val="0"/>
        <w:adjustRightInd w:val="0"/>
        <w:spacing w:after="0"/>
        <w:rPr>
          <w:rFonts w:cs="Times New Roman"/>
          <w:i/>
        </w:rPr>
      </w:pPr>
    </w:p>
    <w:p w:rsidR="00D80F21" w:rsidRDefault="00D80F21" w:rsidP="00373FC2">
      <w:pPr>
        <w:autoSpaceDE w:val="0"/>
        <w:autoSpaceDN w:val="0"/>
        <w:adjustRightInd w:val="0"/>
        <w:spacing w:after="0"/>
        <w:rPr>
          <w:rFonts w:cs="Times New Roman"/>
          <w:i/>
        </w:rPr>
      </w:pPr>
    </w:p>
    <w:p w:rsidR="00373FC2" w:rsidRPr="00E24FF1" w:rsidRDefault="00373FC2" w:rsidP="00373FC2">
      <w:pPr>
        <w:autoSpaceDE w:val="0"/>
        <w:autoSpaceDN w:val="0"/>
        <w:adjustRightInd w:val="0"/>
        <w:spacing w:after="0"/>
        <w:rPr>
          <w:rFonts w:cs="Times New Roman"/>
        </w:rPr>
      </w:pPr>
      <w:proofErr w:type="spellStart"/>
      <w:r>
        <w:rPr>
          <w:rFonts w:cs="Times New Roman"/>
          <w:i/>
        </w:rPr>
        <w:t>EcoRI</w:t>
      </w:r>
      <w:proofErr w:type="spellEnd"/>
      <w:r>
        <w:rPr>
          <w:rFonts w:cs="Times New Roman"/>
          <w:i/>
        </w:rPr>
        <w:t xml:space="preserve"> Digest of </w:t>
      </w:r>
      <w:proofErr w:type="spellStart"/>
      <w:r>
        <w:rPr>
          <w:rFonts w:cs="Times New Roman"/>
          <w:i/>
        </w:rPr>
        <w:t>HindIII</w:t>
      </w:r>
      <w:proofErr w:type="spellEnd"/>
      <w:r>
        <w:rPr>
          <w:rFonts w:cs="Times New Roman"/>
          <w:i/>
        </w:rPr>
        <w:t xml:space="preserve"> digested lambda DNA </w:t>
      </w:r>
    </w:p>
    <w:tbl>
      <w:tblPr>
        <w:tblStyle w:val="TableGrid"/>
        <w:tblW w:w="0" w:type="auto"/>
        <w:tblLook w:val="04A0"/>
      </w:tblPr>
      <w:tblGrid>
        <w:gridCol w:w="5058"/>
        <w:gridCol w:w="1080"/>
      </w:tblGrid>
      <w:tr w:rsidR="00373FC2" w:rsidRPr="00E24FF1">
        <w:tc>
          <w:tcPr>
            <w:tcW w:w="5058" w:type="dxa"/>
            <w:tcBorders>
              <w:bottom w:val="single" w:sz="4" w:space="0" w:color="auto"/>
            </w:tcBorders>
          </w:tcPr>
          <w:p w:rsidR="00373FC2" w:rsidRPr="00E24FF1" w:rsidRDefault="00373FC2" w:rsidP="00373FC2">
            <w:pPr>
              <w:autoSpaceDE w:val="0"/>
              <w:autoSpaceDN w:val="0"/>
              <w:adjustRightInd w:val="0"/>
              <w:rPr>
                <w:rFonts w:cs="Times New Roman"/>
                <w:b/>
                <w:bCs/>
              </w:rPr>
            </w:pPr>
            <w:r>
              <w:rPr>
                <w:rFonts w:cs="Times New Roman"/>
                <w:b/>
                <w:bCs/>
              </w:rPr>
              <w:t>Reagent</w:t>
            </w:r>
            <w:r w:rsidRPr="00E24FF1">
              <w:rPr>
                <w:rFonts w:cs="Times New Roman"/>
                <w:b/>
                <w:bCs/>
              </w:rPr>
              <w:t>:</w:t>
            </w:r>
          </w:p>
        </w:tc>
        <w:tc>
          <w:tcPr>
            <w:tcW w:w="1080" w:type="dxa"/>
          </w:tcPr>
          <w:p w:rsidR="00373FC2" w:rsidRPr="00E24FF1" w:rsidRDefault="00373FC2" w:rsidP="00373FC2">
            <w:pPr>
              <w:autoSpaceDE w:val="0"/>
              <w:autoSpaceDN w:val="0"/>
              <w:adjustRightInd w:val="0"/>
              <w:rPr>
                <w:rFonts w:cs="Times New Roman"/>
                <w:b/>
                <w:bCs/>
              </w:rPr>
            </w:pPr>
            <w:r w:rsidRPr="00E24FF1">
              <w:rPr>
                <w:rFonts w:cs="Times New Roman"/>
                <w:b/>
                <w:bCs/>
              </w:rPr>
              <w:t>Amount:</w:t>
            </w:r>
          </w:p>
        </w:tc>
      </w:tr>
      <w:tr w:rsidR="00373FC2" w:rsidRPr="00E24FF1">
        <w:trPr>
          <w:trHeight w:val="260"/>
        </w:trPr>
        <w:tc>
          <w:tcPr>
            <w:tcW w:w="5058" w:type="dxa"/>
            <w:tcBorders>
              <w:top w:val="single" w:sz="4" w:space="0" w:color="auto"/>
              <w:bottom w:val="single" w:sz="4" w:space="0" w:color="auto"/>
            </w:tcBorders>
          </w:tcPr>
          <w:p w:rsidR="00373FC2" w:rsidRPr="00E24FF1" w:rsidRDefault="00373FC2" w:rsidP="00373FC2">
            <w:pPr>
              <w:autoSpaceDE w:val="0"/>
              <w:autoSpaceDN w:val="0"/>
              <w:adjustRightInd w:val="0"/>
              <w:rPr>
                <w:rFonts w:cs="Times New Roman"/>
                <w:b/>
                <w:bCs/>
              </w:rPr>
            </w:pPr>
            <w:r>
              <w:rPr>
                <w:rFonts w:cs="Times New Roman"/>
                <w:b/>
                <w:bCs/>
              </w:rPr>
              <w:t>Sterile water</w:t>
            </w:r>
          </w:p>
        </w:tc>
        <w:tc>
          <w:tcPr>
            <w:tcW w:w="1080" w:type="dxa"/>
            <w:tcBorders>
              <w:bottom w:val="single" w:sz="4" w:space="0" w:color="auto"/>
            </w:tcBorders>
          </w:tcPr>
          <w:p w:rsidR="00373FC2" w:rsidRPr="00E24FF1" w:rsidRDefault="00C55D48" w:rsidP="006F5B2F">
            <w:pPr>
              <w:autoSpaceDE w:val="0"/>
              <w:autoSpaceDN w:val="0"/>
              <w:adjustRightInd w:val="0"/>
              <w:rPr>
                <w:rFonts w:cs="Times New Roman"/>
                <w:b/>
                <w:bCs/>
              </w:rPr>
            </w:pPr>
            <w:r>
              <w:rPr>
                <w:rFonts w:cs="Times New Roman"/>
                <w:b/>
                <w:bCs/>
              </w:rPr>
              <w:t>18</w:t>
            </w:r>
            <w:r w:rsidR="00373FC2">
              <w:rPr>
                <w:rFonts w:cs="Times New Roman"/>
                <w:b/>
                <w:bCs/>
              </w:rPr>
              <w:t>.5 µl</w:t>
            </w:r>
          </w:p>
        </w:tc>
      </w:tr>
      <w:tr w:rsidR="00373FC2" w:rsidRPr="00E24FF1">
        <w:trPr>
          <w:trHeight w:val="200"/>
        </w:trPr>
        <w:tc>
          <w:tcPr>
            <w:tcW w:w="5058" w:type="dxa"/>
            <w:tcBorders>
              <w:top w:val="single" w:sz="4" w:space="0" w:color="auto"/>
            </w:tcBorders>
          </w:tcPr>
          <w:p w:rsidR="00373FC2" w:rsidRDefault="00373FC2" w:rsidP="00373FC2">
            <w:pPr>
              <w:autoSpaceDE w:val="0"/>
              <w:autoSpaceDN w:val="0"/>
              <w:adjustRightInd w:val="0"/>
              <w:rPr>
                <w:rFonts w:cs="Times New Roman"/>
                <w:b/>
                <w:bCs/>
              </w:rPr>
            </w:pPr>
            <w:proofErr w:type="spellStart"/>
            <w:r>
              <w:rPr>
                <w:rFonts w:cs="Times New Roman"/>
                <w:b/>
                <w:bCs/>
              </w:rPr>
              <w:t>HindIII</w:t>
            </w:r>
            <w:proofErr w:type="spellEnd"/>
            <w:r>
              <w:rPr>
                <w:rFonts w:cs="Times New Roman"/>
                <w:b/>
                <w:bCs/>
              </w:rPr>
              <w:t xml:space="preserve"> digested lambda DNA (0.5 µg/µl)</w:t>
            </w:r>
          </w:p>
        </w:tc>
        <w:tc>
          <w:tcPr>
            <w:tcW w:w="1080" w:type="dxa"/>
            <w:tcBorders>
              <w:top w:val="single" w:sz="4" w:space="0" w:color="auto"/>
            </w:tcBorders>
          </w:tcPr>
          <w:p w:rsidR="00373FC2" w:rsidRDefault="00373FC2" w:rsidP="006F5B2F">
            <w:pPr>
              <w:autoSpaceDE w:val="0"/>
              <w:autoSpaceDN w:val="0"/>
              <w:adjustRightInd w:val="0"/>
              <w:rPr>
                <w:rFonts w:cs="Times New Roman"/>
                <w:b/>
                <w:bCs/>
              </w:rPr>
            </w:pPr>
            <w:r>
              <w:rPr>
                <w:rFonts w:cs="Times New Roman"/>
                <w:b/>
                <w:bCs/>
              </w:rPr>
              <w:t>3 µl</w:t>
            </w:r>
          </w:p>
        </w:tc>
      </w:tr>
      <w:tr w:rsidR="00373FC2" w:rsidRPr="00E24FF1">
        <w:tc>
          <w:tcPr>
            <w:tcW w:w="5058" w:type="dxa"/>
          </w:tcPr>
          <w:p w:rsidR="00373FC2" w:rsidRPr="00E24FF1" w:rsidRDefault="00373FC2" w:rsidP="00373FC2">
            <w:pPr>
              <w:autoSpaceDE w:val="0"/>
              <w:autoSpaceDN w:val="0"/>
              <w:adjustRightInd w:val="0"/>
              <w:rPr>
                <w:rFonts w:cs="Times New Roman"/>
                <w:b/>
                <w:bCs/>
              </w:rPr>
            </w:pPr>
            <w:r w:rsidRPr="00E24FF1">
              <w:rPr>
                <w:rFonts w:cs="Times New Roman"/>
                <w:b/>
                <w:bCs/>
              </w:rPr>
              <w:t xml:space="preserve">NEB </w:t>
            </w:r>
            <w:proofErr w:type="spellStart"/>
            <w:r>
              <w:rPr>
                <w:rFonts w:cs="Times New Roman"/>
                <w:b/>
                <w:bCs/>
              </w:rPr>
              <w:t>EcoRI</w:t>
            </w:r>
            <w:proofErr w:type="spellEnd"/>
            <w:r>
              <w:rPr>
                <w:rFonts w:cs="Times New Roman"/>
                <w:b/>
                <w:bCs/>
              </w:rPr>
              <w:t xml:space="preserve"> buffer</w:t>
            </w:r>
            <w:r w:rsidRPr="00E24FF1">
              <w:rPr>
                <w:rFonts w:cs="Times New Roman"/>
                <w:b/>
                <w:bCs/>
              </w:rPr>
              <w:t xml:space="preserve"> (10X)</w:t>
            </w:r>
            <w:r>
              <w:rPr>
                <w:rFonts w:cs="Times New Roman"/>
                <w:b/>
                <w:bCs/>
              </w:rPr>
              <w:t xml:space="preserve"> </w:t>
            </w:r>
          </w:p>
        </w:tc>
        <w:tc>
          <w:tcPr>
            <w:tcW w:w="1080" w:type="dxa"/>
          </w:tcPr>
          <w:p w:rsidR="00373FC2" w:rsidRPr="00E24FF1" w:rsidRDefault="00373FC2" w:rsidP="00373FC2">
            <w:pPr>
              <w:autoSpaceDE w:val="0"/>
              <w:autoSpaceDN w:val="0"/>
              <w:adjustRightInd w:val="0"/>
              <w:rPr>
                <w:rFonts w:cs="Times New Roman"/>
                <w:b/>
                <w:bCs/>
              </w:rPr>
            </w:pPr>
            <w:r>
              <w:rPr>
                <w:rFonts w:cs="Times New Roman"/>
                <w:b/>
                <w:bCs/>
              </w:rPr>
              <w:t>3 µl</w:t>
            </w:r>
          </w:p>
        </w:tc>
      </w:tr>
      <w:tr w:rsidR="00373FC2" w:rsidRPr="00E24FF1">
        <w:tc>
          <w:tcPr>
            <w:tcW w:w="5058" w:type="dxa"/>
          </w:tcPr>
          <w:p w:rsidR="00373FC2" w:rsidRPr="00E24FF1" w:rsidRDefault="00373FC2" w:rsidP="00373FC2">
            <w:pPr>
              <w:autoSpaceDE w:val="0"/>
              <w:autoSpaceDN w:val="0"/>
              <w:adjustRightInd w:val="0"/>
              <w:rPr>
                <w:rFonts w:cs="Times New Roman"/>
                <w:b/>
                <w:bCs/>
              </w:rPr>
            </w:pPr>
            <w:r>
              <w:rPr>
                <w:rFonts w:cs="Times New Roman"/>
                <w:b/>
                <w:bCs/>
              </w:rPr>
              <w:t>BSA (10</w:t>
            </w:r>
            <w:r w:rsidRPr="00E24FF1">
              <w:rPr>
                <w:rFonts w:cs="Times New Roman"/>
                <w:b/>
                <w:bCs/>
              </w:rPr>
              <w:t>X)</w:t>
            </w:r>
          </w:p>
        </w:tc>
        <w:tc>
          <w:tcPr>
            <w:tcW w:w="1080" w:type="dxa"/>
          </w:tcPr>
          <w:p w:rsidR="00373FC2" w:rsidRPr="00E24FF1" w:rsidRDefault="00373FC2" w:rsidP="00373FC2">
            <w:pPr>
              <w:autoSpaceDE w:val="0"/>
              <w:autoSpaceDN w:val="0"/>
              <w:adjustRightInd w:val="0"/>
              <w:rPr>
                <w:rFonts w:cs="Times New Roman"/>
                <w:b/>
                <w:bCs/>
              </w:rPr>
            </w:pPr>
            <w:r>
              <w:rPr>
                <w:rFonts w:cs="Times New Roman"/>
                <w:b/>
                <w:bCs/>
              </w:rPr>
              <w:t>3 µl</w:t>
            </w:r>
          </w:p>
        </w:tc>
      </w:tr>
      <w:tr w:rsidR="00373FC2" w:rsidRPr="00E24FF1">
        <w:tc>
          <w:tcPr>
            <w:tcW w:w="5058" w:type="dxa"/>
          </w:tcPr>
          <w:p w:rsidR="00373FC2" w:rsidRPr="00E24FF1" w:rsidRDefault="00373FC2" w:rsidP="00373FC2">
            <w:pPr>
              <w:autoSpaceDE w:val="0"/>
              <w:autoSpaceDN w:val="0"/>
              <w:adjustRightInd w:val="0"/>
              <w:rPr>
                <w:rFonts w:cs="Times New Roman"/>
                <w:b/>
                <w:bCs/>
              </w:rPr>
            </w:pPr>
            <w:proofErr w:type="spellStart"/>
            <w:r>
              <w:rPr>
                <w:rFonts w:cs="Times New Roman"/>
                <w:b/>
                <w:bCs/>
              </w:rPr>
              <w:t>EcoRI</w:t>
            </w:r>
            <w:proofErr w:type="spellEnd"/>
            <w:r w:rsidRPr="00E24FF1">
              <w:rPr>
                <w:rFonts w:cs="Times New Roman"/>
                <w:b/>
                <w:bCs/>
              </w:rPr>
              <w:t xml:space="preserve"> (10 units/</w:t>
            </w:r>
            <w:proofErr w:type="spellStart"/>
            <w:r w:rsidRPr="00E24FF1">
              <w:rPr>
                <w:rFonts w:cs="Times New Roman"/>
                <w:b/>
                <w:bCs/>
              </w:rPr>
              <w:t>ul</w:t>
            </w:r>
            <w:proofErr w:type="spellEnd"/>
            <w:r w:rsidRPr="00E24FF1">
              <w:rPr>
                <w:rFonts w:cs="Times New Roman"/>
                <w:b/>
                <w:bCs/>
              </w:rPr>
              <w:t>)</w:t>
            </w:r>
            <w:r>
              <w:rPr>
                <w:rFonts w:cs="Times New Roman"/>
                <w:b/>
                <w:bCs/>
              </w:rPr>
              <w:t xml:space="preserve"> *</w:t>
            </w:r>
          </w:p>
        </w:tc>
        <w:tc>
          <w:tcPr>
            <w:tcW w:w="1080" w:type="dxa"/>
          </w:tcPr>
          <w:p w:rsidR="00373FC2" w:rsidRPr="00E24FF1" w:rsidRDefault="00373FC2" w:rsidP="00373FC2">
            <w:pPr>
              <w:autoSpaceDE w:val="0"/>
              <w:autoSpaceDN w:val="0"/>
              <w:adjustRightInd w:val="0"/>
              <w:rPr>
                <w:rFonts w:cs="Times New Roman"/>
                <w:b/>
                <w:bCs/>
              </w:rPr>
            </w:pPr>
            <w:r>
              <w:rPr>
                <w:rFonts w:cs="Times New Roman"/>
                <w:b/>
                <w:bCs/>
              </w:rPr>
              <w:t>2</w:t>
            </w:r>
            <w:r w:rsidRPr="00E24FF1">
              <w:rPr>
                <w:rFonts w:cs="Times New Roman"/>
                <w:b/>
                <w:bCs/>
              </w:rPr>
              <w:t xml:space="preserve"> </w:t>
            </w:r>
            <w:proofErr w:type="spellStart"/>
            <w:r w:rsidRPr="00E24FF1">
              <w:rPr>
                <w:rFonts w:cs="Times New Roman"/>
                <w:b/>
                <w:bCs/>
              </w:rPr>
              <w:t>ul</w:t>
            </w:r>
            <w:proofErr w:type="spellEnd"/>
          </w:p>
        </w:tc>
      </w:tr>
    </w:tbl>
    <w:p w:rsidR="00373FC2" w:rsidRDefault="00373FC2" w:rsidP="00373FC2">
      <w:pPr>
        <w:rPr>
          <w:rFonts w:cs="Times New Roman"/>
        </w:rPr>
      </w:pPr>
      <w:r w:rsidRPr="00E24FF1">
        <w:rPr>
          <w:rFonts w:cs="Times New Roman"/>
        </w:rPr>
        <w:t xml:space="preserve">Total Volume:  </w:t>
      </w:r>
      <w:r w:rsidR="00C55D48">
        <w:rPr>
          <w:rFonts w:cs="Times New Roman"/>
        </w:rPr>
        <w:t>30</w:t>
      </w:r>
      <w:r w:rsidRPr="00E24FF1">
        <w:rPr>
          <w:rFonts w:cs="Times New Roman"/>
        </w:rPr>
        <w:t xml:space="preserve"> </w:t>
      </w:r>
      <w:proofErr w:type="spellStart"/>
      <w:r w:rsidRPr="00E24FF1">
        <w:rPr>
          <w:rFonts w:cs="Times New Roman"/>
        </w:rPr>
        <w:t>ul</w:t>
      </w:r>
      <w:proofErr w:type="spellEnd"/>
    </w:p>
    <w:p w:rsidR="00223D56" w:rsidRDefault="00223D56">
      <w:r>
        <w:t>*</w:t>
      </w:r>
      <w:r w:rsidR="00373FC2">
        <w:t xml:space="preserve"> Restriction enzymes are supplied in a viscous, glycerol containing solution. Pipette with care!</w:t>
      </w:r>
    </w:p>
    <w:p w:rsidR="00306CDC" w:rsidRDefault="00223D56">
      <w:pPr>
        <w:rPr>
          <w:b/>
        </w:rPr>
      </w:pPr>
      <w:r>
        <w:rPr>
          <w:b/>
        </w:rPr>
        <w:t xml:space="preserve">After you have assembled your reactions, you should </w:t>
      </w:r>
      <w:r w:rsidR="00A447D9">
        <w:rPr>
          <w:b/>
          <w:u w:val="single"/>
        </w:rPr>
        <w:t>mix</w:t>
      </w:r>
      <w:r w:rsidR="00A447D9">
        <w:rPr>
          <w:b/>
        </w:rPr>
        <w:t xml:space="preserve"> them, </w:t>
      </w:r>
      <w:r w:rsidR="00A447D9">
        <w:rPr>
          <w:b/>
          <w:u w:val="single"/>
        </w:rPr>
        <w:t>spin</w:t>
      </w:r>
      <w:r w:rsidR="00A447D9">
        <w:rPr>
          <w:b/>
        </w:rPr>
        <w:t xml:space="preserve"> them down briefly, and </w:t>
      </w:r>
      <w:r w:rsidRPr="00A447D9">
        <w:rPr>
          <w:b/>
          <w:u w:val="single"/>
        </w:rPr>
        <w:t>place</w:t>
      </w:r>
      <w:r>
        <w:rPr>
          <w:b/>
        </w:rPr>
        <w:t xml:space="preserve"> them at 37ºC for the remainder of the lab session (~2 hours).  Your TAs will freeze them afterwards for use during the next lab session.</w:t>
      </w:r>
    </w:p>
    <w:p w:rsidR="00306CDC" w:rsidRDefault="00306CDC">
      <w:pPr>
        <w:pBdr>
          <w:bottom w:val="single" w:sz="6" w:space="1" w:color="auto"/>
        </w:pBdr>
        <w:rPr>
          <w:b/>
        </w:rPr>
      </w:pPr>
    </w:p>
    <w:p w:rsidR="004D7175" w:rsidRPr="00C55D48" w:rsidRDefault="004D7175" w:rsidP="009308FF">
      <w:pPr>
        <w:rPr>
          <w:i/>
        </w:rPr>
      </w:pPr>
    </w:p>
    <w:sectPr w:rsidR="004D7175" w:rsidRPr="00C55D48" w:rsidSect="00D80F21">
      <w:footerReference w:type="default" r:id="rId9"/>
      <w:pgSz w:w="12240" w:h="15840"/>
      <w:pgMar w:top="1440" w:right="1512"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46" w:rsidRDefault="00AD4446">
    <w:pPr>
      <w:pStyle w:val="Footer"/>
    </w:pPr>
    <w:r>
      <w:t xml:space="preserve">Page </w:t>
    </w:r>
    <w:fldSimple w:instr=" PAGE ">
      <w:r w:rsidR="00D87265">
        <w:rPr>
          <w:noProof/>
        </w:rPr>
        <w:t>3</w:t>
      </w:r>
    </w:fldSimple>
    <w:r>
      <w:t xml:space="preserve"> of </w:t>
    </w:r>
    <w:fldSimple w:instr=" NUMPAGES ">
      <w:r w:rsidR="00D87265">
        <w:rPr>
          <w:noProof/>
        </w:rPr>
        <w:t>3</w:t>
      </w:r>
    </w:fldSimple>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0585"/>
    <w:multiLevelType w:val="hybridMultilevel"/>
    <w:tmpl w:val="FDD8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C2CB4"/>
    <w:multiLevelType w:val="hybridMultilevel"/>
    <w:tmpl w:val="725CA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412CE"/>
    <w:multiLevelType w:val="hybridMultilevel"/>
    <w:tmpl w:val="8B40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C6306"/>
    <w:multiLevelType w:val="hybridMultilevel"/>
    <w:tmpl w:val="0A188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56847"/>
    <w:multiLevelType w:val="hybridMultilevel"/>
    <w:tmpl w:val="2C9CC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7175"/>
    <w:rsid w:val="000F3C1A"/>
    <w:rsid w:val="00223D56"/>
    <w:rsid w:val="002A317E"/>
    <w:rsid w:val="00306CDC"/>
    <w:rsid w:val="00373FC2"/>
    <w:rsid w:val="003B1B80"/>
    <w:rsid w:val="004C05E0"/>
    <w:rsid w:val="004D7175"/>
    <w:rsid w:val="00623A46"/>
    <w:rsid w:val="006505B4"/>
    <w:rsid w:val="00661FF4"/>
    <w:rsid w:val="00692694"/>
    <w:rsid w:val="006F5B2F"/>
    <w:rsid w:val="008427DA"/>
    <w:rsid w:val="008659C5"/>
    <w:rsid w:val="008B245E"/>
    <w:rsid w:val="008B61A6"/>
    <w:rsid w:val="008F4511"/>
    <w:rsid w:val="009308FF"/>
    <w:rsid w:val="00A447D9"/>
    <w:rsid w:val="00A44A51"/>
    <w:rsid w:val="00AD4446"/>
    <w:rsid w:val="00BF2787"/>
    <w:rsid w:val="00C55D48"/>
    <w:rsid w:val="00D45249"/>
    <w:rsid w:val="00D804C8"/>
    <w:rsid w:val="00D80F21"/>
    <w:rsid w:val="00D8726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 Spacing" w:uiPriority="1" w:qFormat="1"/>
    <w:lsdException w:name="List Paragraph" w:uiPriority="34" w:qFormat="1"/>
  </w:latentStyles>
  <w:style w:type="paragraph" w:default="1" w:styleId="Normal">
    <w:name w:val="Normal"/>
    <w:qFormat/>
    <w:rsid w:val="004D717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D7175"/>
    <w:pPr>
      <w:ind w:left="720"/>
      <w:contextualSpacing/>
    </w:pPr>
  </w:style>
  <w:style w:type="table" w:styleId="TableGrid">
    <w:name w:val="Table Grid"/>
    <w:basedOn w:val="TableNormal"/>
    <w:uiPriority w:val="59"/>
    <w:rsid w:val="006F5B2F"/>
    <w:pPr>
      <w:spacing w:after="0"/>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8F4511"/>
    <w:rPr>
      <w:color w:val="0000FF" w:themeColor="hyperlink"/>
      <w:u w:val="single"/>
    </w:rPr>
  </w:style>
  <w:style w:type="paragraph" w:styleId="FootnoteText">
    <w:name w:val="footnote text"/>
    <w:basedOn w:val="Normal"/>
    <w:link w:val="FootnoteTextChar"/>
    <w:rsid w:val="00D45249"/>
    <w:pPr>
      <w:spacing w:after="0"/>
    </w:pPr>
  </w:style>
  <w:style w:type="character" w:customStyle="1" w:styleId="FootnoteTextChar">
    <w:name w:val="Footnote Text Char"/>
    <w:basedOn w:val="DefaultParagraphFont"/>
    <w:link w:val="FootnoteText"/>
    <w:rsid w:val="00D45249"/>
    <w:rPr>
      <w:rFonts w:ascii="Times New Roman" w:hAnsi="Times New Roman"/>
    </w:rPr>
  </w:style>
  <w:style w:type="character" w:styleId="FootnoteReference">
    <w:name w:val="footnote reference"/>
    <w:basedOn w:val="DefaultParagraphFont"/>
    <w:rsid w:val="00D45249"/>
    <w:rPr>
      <w:vertAlign w:val="superscript"/>
    </w:rPr>
  </w:style>
  <w:style w:type="paragraph" w:styleId="NoSpacing">
    <w:name w:val="No Spacing"/>
    <w:uiPriority w:val="1"/>
    <w:qFormat/>
    <w:rsid w:val="00D45249"/>
    <w:pPr>
      <w:spacing w:after="0"/>
    </w:pPr>
    <w:rPr>
      <w:sz w:val="22"/>
      <w:szCs w:val="22"/>
    </w:rPr>
  </w:style>
  <w:style w:type="paragraph" w:styleId="Header">
    <w:name w:val="header"/>
    <w:basedOn w:val="Normal"/>
    <w:link w:val="HeaderChar"/>
    <w:rsid w:val="00BF2787"/>
    <w:pPr>
      <w:tabs>
        <w:tab w:val="center" w:pos="4320"/>
        <w:tab w:val="right" w:pos="8640"/>
      </w:tabs>
      <w:spacing w:after="0"/>
    </w:pPr>
  </w:style>
  <w:style w:type="character" w:customStyle="1" w:styleId="HeaderChar">
    <w:name w:val="Header Char"/>
    <w:basedOn w:val="DefaultParagraphFont"/>
    <w:link w:val="Header"/>
    <w:rsid w:val="00BF2787"/>
    <w:rPr>
      <w:rFonts w:ascii="Times New Roman" w:hAnsi="Times New Roman"/>
    </w:rPr>
  </w:style>
  <w:style w:type="paragraph" w:styleId="Footer">
    <w:name w:val="footer"/>
    <w:basedOn w:val="Normal"/>
    <w:link w:val="FooterChar"/>
    <w:rsid w:val="00BF2787"/>
    <w:pPr>
      <w:tabs>
        <w:tab w:val="center" w:pos="4320"/>
        <w:tab w:val="right" w:pos="8640"/>
      </w:tabs>
      <w:spacing w:after="0"/>
    </w:pPr>
  </w:style>
  <w:style w:type="character" w:customStyle="1" w:styleId="FooterChar">
    <w:name w:val="Footer Char"/>
    <w:basedOn w:val="DefaultParagraphFont"/>
    <w:link w:val="Footer"/>
    <w:rsid w:val="00BF2787"/>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ebase.neb.com/rebase/rebase.html"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image" Target="media/image1.gif"/><Relationship Id="rId7" Type="http://schemas.openxmlformats.org/officeDocument/2006/relationships/image" Target="media/image3.gif"/><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1110</Words>
  <Characters>6331</Characters>
  <Application>Microsoft Macintosh Word</Application>
  <DocSecurity>0</DocSecurity>
  <Lines>52</Lines>
  <Paragraphs>12</Paragraphs>
  <ScaleCrop>false</ScaleCrop>
  <Company>Caltech</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Soghoian</dc:creator>
  <cp:keywords/>
  <cp:lastModifiedBy>Helen Bermudez</cp:lastModifiedBy>
  <cp:revision>2</cp:revision>
  <cp:lastPrinted>2009-04-21T00:35:00Z</cp:lastPrinted>
  <dcterms:created xsi:type="dcterms:W3CDTF">2010-04-21T06:31:00Z</dcterms:created>
  <dcterms:modified xsi:type="dcterms:W3CDTF">2010-04-21T06:31:00Z</dcterms:modified>
</cp:coreProperties>
</file>